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PROPOSTA DI MODIFICA</w:t>
      </w:r>
    </w:p>
    <w:p w:rsidR="00000000" w:rsidDel="00000000" w:rsidP="00000000" w:rsidRDefault="00000000" w:rsidRPr="00000000" w14:paraId="00000002">
      <w:pPr>
        <w:spacing w:line="276" w:lineRule="auto"/>
        <w:jc w:val="both"/>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D. Lgs. 31 marzo 2023, n. 36.</w:t>
      </w:r>
    </w:p>
    <w:p w:rsidR="00000000" w:rsidDel="00000000" w:rsidP="00000000" w:rsidRDefault="00000000" w:rsidRPr="00000000" w14:paraId="00000003">
      <w:pPr>
        <w:spacing w:line="276" w:lineRule="auto"/>
        <w:jc w:val="both"/>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TITOLO IV - La finanza di progetto</w:t>
      </w:r>
    </w:p>
    <w:p w:rsidR="00000000" w:rsidDel="00000000" w:rsidP="00000000" w:rsidRDefault="00000000" w:rsidRPr="00000000" w14:paraId="00000004">
      <w:pPr>
        <w:spacing w:line="276" w:lineRule="auto"/>
        <w:jc w:val="both"/>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Articolo 193 – Procedura di affidamento.</w:t>
      </w:r>
    </w:p>
    <w:p w:rsidR="00000000" w:rsidDel="00000000" w:rsidP="00000000" w:rsidRDefault="00000000" w:rsidRPr="00000000" w14:paraId="00000005">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 L'affidamento in concessione di lavori o servizi mediante finanza di progetto può avvenire su iniziativa privata, nelle ipotesi di cui al comma 3, anche per proposte non incluse nella programmazione del partenariato pubblico-privato di cui all'articolo 175, comma 1, ovvero su iniziativa dell'ente concedente, nelle ipotesi di cui al comma 16, per proposte incluse nella programmazione del partenariato pubblico-privato di cui all'articolo 175, comma 1.</w:t>
      </w:r>
    </w:p>
    <w:p w:rsidR="00000000" w:rsidDel="00000000" w:rsidP="00000000" w:rsidRDefault="00000000" w:rsidRPr="00000000" w14:paraId="00000006">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 Ai fini della presentazione di una proposta ai sensi comma 1, un operatore economico può presentare all'ente concedente una preliminare manifestazione di interesse, corredata dalla richiesta di informazioni e dati necessari per la predisposizione della proposta.</w:t>
      </w:r>
    </w:p>
    <w:p w:rsidR="00000000" w:rsidDel="00000000" w:rsidP="00000000" w:rsidRDefault="00000000" w:rsidRPr="00000000" w14:paraId="00000007">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L'ente concedente comunica all'operatore economico la sussistenza di un interesse pubblico preliminare all'elaborazione della proposta; in tale ipotesi, i dati e le informazioni richiesti sono trasmessi all'operatore economico e sono resi disponibili a tutti gli interessati tramite pubblicazione nella sezione "Amministrazione trasparente" del proprio sito istituzionale.</w:t>
      </w:r>
    </w:p>
    <w:p w:rsidR="00000000" w:rsidDel="00000000" w:rsidP="00000000" w:rsidRDefault="00000000" w:rsidRPr="00000000" w14:paraId="00000008">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 Gli operatori economici possono presentare agli enti concedenti, in qualità di promotore, proposte relative alla realizzazione in concessione di lavori o servizi, elaborate su iniziativa privata per la realizzazione di interventi anche non inclusi nella programmazione del partenariato pubblico-privato di cui all'articolo 175, comma 1. Le proposte presentate ai sensi del primo periodo non sono soggette all'obbligo di preventiva presentazione di una manifestazione di interesse ai sensi del comma 2 e alla preventiva pubblicazione di un avviso ai sensi del comma 15. Ciascuna proposta contiene un progetto di fattibilità, redatto in coerenza con l'articolo 6-bis dell'allegato I.7., una bozza di convenzione, il piano economico-finanziario asseverato, e la specificazione delle caratteristiche del servizio e della gestione e l'indicazione dei requisiti del promotore. Il piano economico-finanziario comprende l'importo delle spese sostenute per la predisposizione della proposta, comprensivo anche dei diritti sulle opere dell'ingegno. Gli investitori istituzionali di cui all'articolo 32, comma 3, del decreto-legge 31 maggio 2010, n. 78, convertito, con modificazioni, dalla legge 30 luglio 2010, n. 122, nonché i soggetti di cui all'articolo 2, numero 3), del regolamento (UE) 2015/1017 del Parlamento europeo e del Consiglio, del 25 giugno 2015 e gli altri operatori economici interessati, possono formulare le proposte di cui al primo periodo salva la necessità, nella successiva gara per l'affidamento dei lavori o dei servizi, di associarsi o consorziarsi con altri operatori economici in possesso dei requisiti richiesti dal bando, qualora gli stessi ne siano privi. Gli investitori istituzionali e gli altri operatori economici interessati, in sede di gara, possono soddisfare la richiesta dei requisiti di carattere economico, finanziario, tecnico e professionale avvalendosi, anche integralmente, delle capacità di altri soggetti. Gli investitori istituzionali e gli altri operatori economici interessati possono altresì impegnarsi a subappaltare, anche integralmente, le prestazioni oggetto del contratto di concessione a imprese in possesso dei requisiti richiesti dal bando, a condizione che il nominativo del subappaltatore sia comunicato, con il suo consenso, all'ente concedente entro la scadenza del termine per la presentazione dell'offerta.</w:t>
      </w:r>
    </w:p>
    <w:p w:rsidR="00000000" w:rsidDel="00000000" w:rsidP="00000000" w:rsidRDefault="00000000" w:rsidRPr="00000000" w14:paraId="00000009">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 Previa verifica dell'interesse pubblico alla proposta e della relativa coerenza con la programmazione del partenariato pubblico-privato di cui all'articolo 175, comma 1, l’ente concedente valuta entro novanta giorni dalla presentazione della proposta, la fattibilità della medesima, invitando se necessario il promotore ad apportare al progetto di fattibilità, al piano economico-finanziario e allo schema di convenzione le modifiche necessarie per la loro approvazione. In tale fase, l'ente concedente ha facoltà di indire una conferenza di servizi preliminare ai sensi dell'articolo 14, comma 3, della legge 7 agosto 1990, n. 241. Se il promotore non apporta le modifiche e integrazioni richieste per recepire le indicazioni dell'ente concedente entro il termine dallo stesso indicato, la proposta è respinta con provvedimento motivato. L'ente concedente conclude, con provvedimento motivato, la procedura di valutazione. Il provvedimento è pubblicato sul sito istituzionale dell'ente ed è comunicato ai soggetti interessati.</w:t>
      </w:r>
    </w:p>
    <w:p w:rsidR="00000000" w:rsidDel="00000000" w:rsidP="00000000" w:rsidRDefault="00000000" w:rsidRPr="00000000" w14:paraId="0000000A">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 Il progetto di fattibilità, valutato positivamente ai sensi del comma 4, è integrato, se necessario in funzione dell'oggetto dell'intervento, con gli ulteriori elaborati richiesti dall'articolo 6 dell'allegato I.7 anche ai fini della relativa sottoposizione al procedimento di approvazione ai sensi dell'articolo 38. Il progetto di fattibilità tecnica ed economica per i lavori o il progetto di cui all'articolo 4-bis dell'Allegato I.7 per i servizi, una volta approvati, sono inseriti tra gli strumenti di programmazione dell'ente concedente.</w:t>
      </w:r>
    </w:p>
    <w:p w:rsidR="00000000" w:rsidDel="00000000" w:rsidP="00000000" w:rsidRDefault="00000000" w:rsidRPr="00000000" w14:paraId="0000000B">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 All'esito dell'approvazione, il progetto di fattibilità tecnica ed economica, per gli affidamenti di lavori, ovvero il progetto di cui all'articolo 4-bis dell'Allegato I.7, per gli affidamenti di servizi, unitamente agli altri elaborati della proposta, inclusa una sintesi del piano economico finanziario, sono posti a base di gara nei tempi previsti dalla programmazione. Alla gara è invitato il promotore. Gli obblighi di trasparenza sono assolti ai sensi dell'articolo 28, nel rispetto delle disposizioni sulla riservatezza di cui all'articolo 35 e delle deroghe relative ai contratti secretati di cui all'articolo 139. Il criterio di aggiudicazione è l'offerta economicamente più vantaggiosa individuata sulla base del miglior rapporto tra qualità e prezzo. Quando il contratto non può essere aggiudicato senza preventive negoziazioni a causa di circostanze particolari in relazione alla natura, complessità o impostazione finanziaria e giuridica dell’oggetto del contratto o a causa dei rischi a esso connessi, l’ente concedente utilizza la procedura competitiva con negoziazione o il dialogo competitivo, e si applicano le disposizioni di cui agli articoli 70, 73 e 74, in quanto compatibili.</w:t>
      </w:r>
    </w:p>
    <w:p w:rsidR="00000000" w:rsidDel="00000000" w:rsidP="00000000" w:rsidRDefault="00000000" w:rsidRPr="00000000" w14:paraId="0000000C">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 La configurazione giuridica del promotore può essere modificata e integrata sino alla data di scadenza della presentazione delle offerte. </w:t>
      </w:r>
    </w:p>
    <w:p w:rsidR="00000000" w:rsidDel="00000000" w:rsidP="00000000" w:rsidRDefault="00000000" w:rsidRPr="00000000" w14:paraId="0000000D">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 I concorrenti, compreso il promotore, in possesso dei requisiti soggettivi previsti dal bando, presentano un'offerta contenente il piano economico-finanziario asseverato, la specificazione delle caratteristiche del servizio e della gestione, le varianti migliorative al progetto di fattibilità tecnico economica e le eventuali modifiche allo schema di convenzione posti a base di gara, secondo gli indicatori previsti nel bando. Le offerte sono corredate delle garanzie di cui all'articolo 106.</w:t>
      </w:r>
    </w:p>
    <w:p w:rsidR="00000000" w:rsidDel="00000000" w:rsidP="00000000" w:rsidRDefault="00000000" w:rsidRPr="00000000" w14:paraId="0000000E">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 L'ente concedente:</w:t>
      </w:r>
    </w:p>
    <w:p w:rsidR="00000000" w:rsidDel="00000000" w:rsidP="00000000" w:rsidRDefault="00000000" w:rsidRPr="00000000" w14:paraId="0000000F">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 prende in esame le offerte che sono pervenute nei termini indicati nel bando;</w:t>
      </w:r>
    </w:p>
    <w:p w:rsidR="00000000" w:rsidDel="00000000" w:rsidP="00000000" w:rsidRDefault="00000000" w:rsidRPr="00000000" w14:paraId="00000010">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 redige una graduatoria e nomina aggiudicatario il soggetto che ha presentato la migliore offerta;</w:t>
      </w:r>
    </w:p>
    <w:p w:rsidR="00000000" w:rsidDel="00000000" w:rsidP="00000000" w:rsidRDefault="00000000" w:rsidRPr="00000000" w14:paraId="00000011">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 pone in approvazione il successivo livello progettuale elaborato dall'aggiudicatario.</w:t>
      </w:r>
    </w:p>
    <w:p w:rsidR="00000000" w:rsidDel="00000000" w:rsidP="00000000" w:rsidRDefault="00000000" w:rsidRPr="00000000" w14:paraId="00000012">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 Le offerte sono corredate delle garanzie di cui all’articolo 106. Il soggetto aggiudicatario presta la garanzia di cui all’articolo 117. Dalla data di inizio dell’esercizio del servizio da parte del concessionario è dovuta una cauzione a garanzia delle penali relative al mancato o inesatto adempimento di tutti gli obblighi contrattuali relativi alla gestione dell’opera, da prestarsi nella misura del 10 per cento del costo annuo operativo di esercizio e con le modalità di cui all’articolo 117. La mancata presentazione di tale cauzione costituisce grave inadempimento contrattuale.</w:t>
      </w:r>
    </w:p>
    <w:p w:rsidR="00000000" w:rsidDel="00000000" w:rsidP="00000000" w:rsidRDefault="00000000" w:rsidRPr="00000000" w14:paraId="00000013">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11. I partecipanti alla gara, oltre alla cauzione di cui all'articolo 106, comma 1, versano, mediante fideiussione bancaria o assicurativa, un'ulteriore cauzione fissata dal bando in misura pari all'importo complessivo delle spese rimborsabili al promotore, che non può superare il 2,5 per cento del valore dell'investimento, come desumibile dal progetto di fattibilità posto a base di gara.</w:t>
      </w:r>
    </w:p>
    <w:p w:rsidR="00000000" w:rsidDel="00000000" w:rsidP="00000000" w:rsidRDefault="00000000" w:rsidRPr="00000000" w14:paraId="00000014">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12. Nel caso in cui non risulti aggiudicatario, il promotore che partecipa alla gara ha diritto al pagamento, a carico dell'aggiudicatario, dell'importo complessivo delle spese sostenute, che non può superare il 2,5 per cento del valore dell'investimento, come desumibile dal progetto di fattibilità posto a base di gara. Il pagamento è effettuato dall'amministrazione aggiudicatrice prelevando tale importo dalla cauzione versata dal soggetto aggiudicatario ai sensi del comma precedente. </w:t>
      </w:r>
    </w:p>
    <w:p w:rsidR="00000000" w:rsidDel="00000000" w:rsidP="00000000" w:rsidRDefault="00000000" w:rsidRPr="00000000" w14:paraId="00000015">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13. In relazione alla specifica tipologia di lavoro o servizio, l'ente concedente può prevedere criteri di aggiudicazione premiali, volti a valorizzare l'apporto di ciascuna offerta agli obiettivi di innovazione, sviluppo e digitalizzazione.</w:t>
      </w:r>
    </w:p>
    <w:p w:rsidR="00000000" w:rsidDel="00000000" w:rsidP="00000000" w:rsidRDefault="00000000" w:rsidRPr="00000000" w14:paraId="00000016">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14. Le camere di commercio, industria, artigianato e agricoltura, nell’ambito degli scopi di utilità sociale e di promozione dello sviluppo economico dagli stessi perseguiti, possono aggregarsi alla presentazione di proposte di realizzazione di lavori pubblici di cui al presente articolo, ferma restando la loro autonomia decisionale.</w:t>
      </w:r>
    </w:p>
    <w:p w:rsidR="00000000" w:rsidDel="00000000" w:rsidP="00000000" w:rsidRDefault="00000000" w:rsidRPr="00000000" w14:paraId="00000017">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15. L’ente concedente può sollecitare i privati a farsi promotori di iniziative volte a realizzare i progetti inclusi negli strumenti di programmazione del partenariato pubblico-privato, di cui all’articolo 175, comma 1, con le modalità disciplinate nel presente Titolo, entro un termine non inferiore a sessanta giorni, di proposte redatte nel rispetto delle disposizioni del comma 3. Gli operatori economici interessati a rispondere all'avviso possono richiedere all'ente concedente di fornire integrazioni documentali per una migliore formulazione delle proposte. Le eventuali integrazioni documentali predisposte dall'ente concedente sono trasmesse all'operatore economico e sono rese disponibili a tutti gli interessati tramite pubblicazione nella sezione "Amministrazione trasparente" del proprio sito istituzionale.</w:t>
      </w:r>
    </w:p>
    <w:p w:rsidR="00000000" w:rsidDel="00000000" w:rsidP="00000000" w:rsidRDefault="00000000" w:rsidRPr="00000000" w14:paraId="00000018">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16. L'ente concedente valuta le proposte presentate ai sensi del comma 15 e pone a base di gara il progetto di fattibilità selezionato, unitamente agli altri elaborati della proposta, inclusa una sintesi del piano economico finanziario, nel rispetto delle disposizioni di cui ai commi 4, 5 e 6. La procedura di gara si svolge in conformità ai commi 7, 8 e 9. Il soggetto aggiudicatario presta le garanzie di cui al comma 10.</w:t>
      </w:r>
    </w:p>
    <w:p w:rsidR="00000000" w:rsidDel="00000000" w:rsidP="00000000" w:rsidRDefault="00000000" w:rsidRPr="00000000" w14:paraId="00000019">
      <w:pPr>
        <w:spacing w:line="276" w:lineRule="auto"/>
        <w:jc w:val="both"/>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1A">
      <w:pPr>
        <w:spacing w:line="276" w:lineRule="auto"/>
        <w:jc w:val="both"/>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1B">
      <w:pPr>
        <w:spacing w:line="276" w:lineRule="auto"/>
        <w:jc w:val="both"/>
        <w:rPr>
          <w:rFonts w:ascii="Garamond" w:cs="Garamond" w:eastAsia="Garamond" w:hAnsi="Garamond"/>
          <w:sz w:val="22"/>
          <w:szCs w:val="22"/>
        </w:rPr>
      </w:pPr>
      <w:r w:rsidDel="00000000" w:rsidR="00000000" w:rsidRPr="00000000">
        <w:rPr>
          <w:rtl w:val="0"/>
        </w:rPr>
      </w:r>
    </w:p>
    <w:sectPr>
      <w:footerReference r:id="rId7" w:type="default"/>
      <w:footerReference r:id="rId8" w:type="even"/>
      <w:pgSz w:h="16840" w:w="1190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5" Type="http://schemas.openxmlformats.org/officeDocument/2006/relationships/font" Target="fonts/Garamond-italic.ttf"/><Relationship Id="rId6"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Ip0K8T4DwvQY2BO+EIof2oikLw==">CgMxLjA4AHIhMV94UU9PeFdDVlVweXVhY1A3SXhRRDlVd3dPQWpEM0FH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