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6F412038" w:rsidR="00AD7D87" w:rsidRPr="0002740B" w:rsidRDefault="00AD7D87" w:rsidP="00482154">
      <w:pPr>
        <w:pStyle w:val="Titolo2"/>
        <w:rPr>
          <w:color w:val="auto"/>
        </w:rPr>
      </w:pPr>
      <w:r w:rsidRPr="0002740B">
        <w:rPr>
          <w:color w:val="auto"/>
        </w:rPr>
        <w:t>Bandi SAI di importo superiore a 1</w:t>
      </w:r>
      <w:r w:rsidR="0030720C" w:rsidRPr="0002740B">
        <w:rPr>
          <w:color w:val="auto"/>
        </w:rPr>
        <w:t>4</w:t>
      </w:r>
      <w:r w:rsidRPr="0002740B">
        <w:rPr>
          <w:color w:val="auto"/>
        </w:rPr>
        <w:t xml:space="preserve">0mila euro </w:t>
      </w:r>
      <w:r w:rsidR="0061177F" w:rsidRPr="0002740B">
        <w:rPr>
          <w:color w:val="auto"/>
        </w:rPr>
        <w:t>dal</w:t>
      </w:r>
      <w:r w:rsidR="0094078D" w:rsidRPr="0002740B">
        <w:rPr>
          <w:color w:val="auto"/>
        </w:rPr>
        <w:t xml:space="preserve"> </w:t>
      </w:r>
      <w:r w:rsidR="0002740B" w:rsidRPr="0002740B">
        <w:rPr>
          <w:color w:val="auto"/>
        </w:rPr>
        <w:t>9</w:t>
      </w:r>
      <w:r w:rsidR="0030720C" w:rsidRPr="0002740B">
        <w:rPr>
          <w:color w:val="auto"/>
        </w:rPr>
        <w:t xml:space="preserve"> al</w:t>
      </w:r>
      <w:r w:rsidR="0002740B" w:rsidRPr="0002740B">
        <w:rPr>
          <w:color w:val="auto"/>
        </w:rPr>
        <w:t xml:space="preserve"> 15</w:t>
      </w:r>
      <w:r w:rsidR="00482154" w:rsidRPr="0002740B">
        <w:rPr>
          <w:color w:val="auto"/>
        </w:rPr>
        <w:t xml:space="preserve"> maggio </w:t>
      </w:r>
      <w:r w:rsidR="0061177F" w:rsidRPr="0002740B">
        <w:rPr>
          <w:color w:val="auto"/>
        </w:rPr>
        <w:t>2026</w:t>
      </w:r>
    </w:p>
    <w:p w14:paraId="59EF617E" w14:textId="028E498D" w:rsidR="00AD7D87" w:rsidRPr="00CE3A09" w:rsidRDefault="00AD7D87" w:rsidP="00AD7D87">
      <w:pPr>
        <w:pStyle w:val="fontec"/>
        <w:rPr>
          <w:color w:val="auto"/>
          <w:sz w:val="22"/>
          <w:szCs w:val="22"/>
        </w:rPr>
      </w:pPr>
      <w:r w:rsidRPr="00CE3A09">
        <w:rPr>
          <w:color w:val="auto"/>
          <w:sz w:val="22"/>
          <w:szCs w:val="22"/>
        </w:rPr>
        <w:t>(Fonte: ONSAI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698"/>
        <w:gridCol w:w="1278"/>
        <w:gridCol w:w="1843"/>
        <w:gridCol w:w="5588"/>
      </w:tblGrid>
      <w:tr w:rsidR="00CE3A09" w:rsidRPr="00CE3A09" w14:paraId="7B686CFC" w14:textId="77777777" w:rsidTr="006F2950">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655"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493"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711" w:type="pct"/>
            <w:tcBorders>
              <w:top w:val="nil"/>
              <w:left w:val="nil"/>
              <w:bottom w:val="nil"/>
              <w:right w:val="nil"/>
            </w:tcBorders>
            <w:shd w:val="clear" w:color="000000" w:fill="FFC000"/>
            <w:vAlign w:val="center"/>
            <w:hideMark/>
          </w:tcPr>
          <w:p w14:paraId="079C7B28" w14:textId="77777777" w:rsidR="008C06BF" w:rsidRPr="00CE3A09" w:rsidRDefault="008C06BF" w:rsidP="004A0D01">
            <w:pPr>
              <w:spacing w:after="0" w:line="240" w:lineRule="auto"/>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156" w:type="pct"/>
            <w:tcBorders>
              <w:top w:val="nil"/>
              <w:left w:val="nil"/>
              <w:bottom w:val="nil"/>
              <w:right w:val="nil"/>
            </w:tcBorders>
            <w:shd w:val="clear" w:color="000000" w:fill="FFC000"/>
            <w:vAlign w:val="center"/>
            <w:hideMark/>
          </w:tcPr>
          <w:p w14:paraId="192D56D2" w14:textId="77777777" w:rsidR="008C06BF" w:rsidRPr="00CE3A09" w:rsidRDefault="008C06BF" w:rsidP="004A0D01">
            <w:pPr>
              <w:spacing w:after="0" w:line="240" w:lineRule="auto"/>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1472C8">
        <w:trPr>
          <w:trHeight w:val="20"/>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F33C7E" w:rsidRPr="0002740B" w14:paraId="002C4510" w14:textId="77777777" w:rsidTr="00F33C7E">
        <w:trPr>
          <w:trHeight w:val="907"/>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8C518" w14:textId="2CA73A4F" w:rsidR="00F33C7E" w:rsidRPr="00F33C7E" w:rsidRDefault="00F33C7E" w:rsidP="00F33C7E">
            <w:pPr>
              <w:spacing w:after="0" w:line="240" w:lineRule="auto"/>
              <w:jc w:val="center"/>
              <w:rPr>
                <w:rFonts w:eastAsia="Times New Roman" w:cstheme="minorHAnsi"/>
                <w:noProof w:val="0"/>
                <w:kern w:val="0"/>
                <w:sz w:val="20"/>
                <w:szCs w:val="20"/>
                <w14:ligatures w14:val="none"/>
              </w:rPr>
            </w:pPr>
            <w:r w:rsidRPr="00F33C7E">
              <w:rPr>
                <w:rFonts w:ascii="Calibri" w:hAnsi="Calibri" w:cs="Calibri"/>
                <w:sz w:val="20"/>
                <w:szCs w:val="20"/>
              </w:rPr>
              <w:t>Bologna</w:t>
            </w:r>
          </w:p>
        </w:tc>
        <w:tc>
          <w:tcPr>
            <w:tcW w:w="65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68049D8E"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27.140.615,14</w:t>
            </w:r>
          </w:p>
        </w:tc>
        <w:tc>
          <w:tcPr>
            <w:tcW w:w="493"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3E89C26A"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112C9741"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67C621F4"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4 Centro - III Tronco di Bologna, IV Tronco di Firenze e IX Tronco di Udine</w:t>
            </w:r>
          </w:p>
        </w:tc>
      </w:tr>
      <w:tr w:rsidR="00F33C7E" w:rsidRPr="0002740B" w14:paraId="6F0ED491"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91FC" w14:textId="362B1846"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Pescara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277D1919"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25.620.289,37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66DA51EB"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59102DCB"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2CBC63AC"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7 Sud - V Tronco di Fiano Romano, VI Tronco di Cassino, VII Tronco di Pescara e VII Tronco di Bari</w:t>
            </w:r>
          </w:p>
        </w:tc>
      </w:tr>
      <w:tr w:rsidR="00F33C7E" w:rsidRPr="0002740B" w14:paraId="04DB759A"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4527453B" w:rsidR="00F33C7E" w:rsidRPr="00F33C7E" w:rsidRDefault="00F33C7E" w:rsidP="00F33C7E">
            <w:pPr>
              <w:spacing w:after="0" w:line="240" w:lineRule="auto"/>
              <w:jc w:val="center"/>
              <w:rPr>
                <w:rFonts w:cstheme="minorHAnsi"/>
                <w:sz w:val="20"/>
                <w:szCs w:val="20"/>
              </w:rPr>
            </w:pPr>
            <w:r w:rsidRPr="00F33C7E">
              <w:rPr>
                <w:rFonts w:ascii="Calibri" w:hAnsi="Calibri" w:cs="Calibri"/>
                <w:sz w:val="20"/>
                <w:szCs w:val="20"/>
              </w:rPr>
              <w:t>Genova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6ED9AB0A" w:rsidR="00F33C7E" w:rsidRPr="00F33C7E" w:rsidRDefault="00F33C7E" w:rsidP="00F33C7E">
            <w:pPr>
              <w:spacing w:after="0" w:line="240" w:lineRule="auto"/>
              <w:jc w:val="center"/>
              <w:rPr>
                <w:rFonts w:cstheme="minorHAnsi"/>
                <w:sz w:val="20"/>
                <w:szCs w:val="20"/>
              </w:rPr>
            </w:pPr>
            <w:r w:rsidRPr="00F33C7E">
              <w:rPr>
                <w:rFonts w:ascii="Calibri" w:hAnsi="Calibri" w:cs="Calibri"/>
                <w:sz w:val="20"/>
                <w:szCs w:val="20"/>
              </w:rPr>
              <w:t>22.417.554,54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65240413" w:rsidR="00F33C7E" w:rsidRPr="00F33C7E" w:rsidRDefault="00F33C7E" w:rsidP="00F33C7E">
            <w:pPr>
              <w:spacing w:after="0" w:line="240" w:lineRule="auto"/>
              <w:jc w:val="center"/>
              <w:rPr>
                <w:rFonts w:cstheme="minorHAnsi"/>
                <w:sz w:val="20"/>
                <w:szCs w:val="20"/>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571FBC82" w:rsidR="00F33C7E" w:rsidRPr="00F33C7E" w:rsidRDefault="00F33C7E" w:rsidP="00F33C7E">
            <w:pPr>
              <w:spacing w:after="0" w:line="240" w:lineRule="auto"/>
              <w:rPr>
                <w:rFonts w:cstheme="minorHAnsi"/>
                <w:sz w:val="20"/>
                <w:szCs w:val="20"/>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61AD440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1 Nord - I Tronco di Genova e II Tronco di Milano</w:t>
            </w:r>
          </w:p>
        </w:tc>
      </w:tr>
      <w:tr w:rsidR="00F33C7E" w:rsidRPr="0002740B" w14:paraId="79E4D973"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695F25E7"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1E675182"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21.855.769,04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5688F829"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5F7B744F"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73A3DFF6"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5 Centro - III Tronco di Bologna, IV Tronco di Firenze e IX Tronco di Udine</w:t>
            </w:r>
          </w:p>
        </w:tc>
      </w:tr>
      <w:tr w:rsidR="00F33C7E" w:rsidRPr="0002740B" w14:paraId="014D72E1"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098967BE"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Pescara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5A17375D"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20.661.227,36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58E0E4E5"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45A9055B"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5B04D9BE"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8 Sud - V Tronco di Fiano Romano, VI Tronco di Cassino, VII Tronco di Pescara e VII Tronco di Bari</w:t>
            </w:r>
          </w:p>
        </w:tc>
      </w:tr>
      <w:tr w:rsidR="00F33C7E" w:rsidRPr="0002740B" w14:paraId="25BB482E"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105F986E"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Genova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21BB510F"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18.144.792,85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5E1EF09F"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19346FDD"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11F44686"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2 Nord - I Tronco di Genova e II Tronco di Milano</w:t>
            </w:r>
          </w:p>
        </w:tc>
      </w:tr>
      <w:tr w:rsidR="00F33C7E" w:rsidRPr="0002740B" w14:paraId="671F0290"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lastRenderedPageBreak/>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7FA2BD00" w:rsidR="00F33C7E" w:rsidRPr="00F33C7E" w:rsidRDefault="00F33C7E" w:rsidP="00F33C7E">
            <w:pPr>
              <w:spacing w:after="0" w:line="240" w:lineRule="auto"/>
              <w:jc w:val="center"/>
              <w:rPr>
                <w:rFonts w:eastAsia="Times New Roman" w:cstheme="minorHAnsi"/>
                <w:noProof w:val="0"/>
                <w:kern w:val="0"/>
                <w:sz w:val="20"/>
                <w:szCs w:val="20"/>
                <w14:ligatures w14:val="none"/>
              </w:rPr>
            </w:pPr>
            <w:r w:rsidRPr="00F33C7E">
              <w:rPr>
                <w:rFonts w:ascii="Calibri" w:hAnsi="Calibri" w:cs="Calibri"/>
                <w:sz w:val="20"/>
                <w:szCs w:val="20"/>
              </w:rPr>
              <w:t>Bologna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3A653580"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17.158.128,06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524B0E5F"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1D2BFC41"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66AD41E5"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6 Centro - III Tronco di Bologna, IV Tronco di Firenze e IX Tronco di Udine</w:t>
            </w:r>
          </w:p>
        </w:tc>
      </w:tr>
      <w:tr w:rsidR="00F33C7E" w:rsidRPr="0002740B" w14:paraId="4AD43CAC" w14:textId="77777777" w:rsidTr="00F33C7E">
        <w:trPr>
          <w:trHeight w:val="90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2E23DB6"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Pescara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33306B14"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16.253.172,25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0D2E8AF4"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2F76E834"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752CD79B"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9 Sud - V Tronco di Fiano Romano, VI Tronco di Cassino, VII Tronco di Pescara e VII Tronco di Bari</w:t>
            </w:r>
          </w:p>
        </w:tc>
      </w:tr>
      <w:tr w:rsidR="00F33C7E" w:rsidRPr="0002740B" w14:paraId="404702A2"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5793E546"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Genova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3BB38250"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14.346.782,46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049445BF"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266861D5" w:rsidR="00F33C7E" w:rsidRPr="00F33C7E" w:rsidRDefault="00F33C7E" w:rsidP="00F33C7E">
            <w:pPr>
              <w:spacing w:after="0" w:line="240" w:lineRule="auto"/>
              <w:rPr>
                <w:rFonts w:eastAsia="Times New Roman" w:cstheme="minorHAnsi"/>
                <w:noProof w:val="0"/>
                <w:kern w:val="0"/>
                <w:sz w:val="20"/>
                <w:szCs w:val="20"/>
                <w14:ligatures w14:val="none"/>
              </w:rPr>
            </w:pPr>
            <w:r w:rsidRPr="00DC38E0">
              <w:rPr>
                <w:rFonts w:ascii="Calibri" w:hAnsi="Calibri" w:cs="Calibri"/>
                <w:sz w:val="20"/>
                <w:szCs w:val="20"/>
              </w:rPr>
              <w:t>Autostrade per l'Italia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36CB75AA"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Gara in 9 lotti - Accordo quadro - Servizio di prove di laboratorio e indagini in sito sui materiali da costruzione, prove su terre e rocce, indagini geognostiche e rilievi topografici relativi al patrimonio autostradale gestito in concessione da Autostrade per l'Italia Spa - Lotto 3 Nord - I Tronco di Genova e II Tronco di Milano</w:t>
            </w:r>
          </w:p>
        </w:tc>
      </w:tr>
      <w:tr w:rsidR="00F33C7E" w:rsidRPr="0002740B" w14:paraId="23205E37" w14:textId="77777777" w:rsidTr="00F33C7E">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F33C7E" w:rsidRPr="0002740B" w:rsidRDefault="00F33C7E" w:rsidP="00F33C7E">
            <w:pPr>
              <w:spacing w:after="0" w:line="240" w:lineRule="auto"/>
              <w:jc w:val="center"/>
              <w:rPr>
                <w:rFonts w:eastAsia="Times New Roman" w:cstheme="minorHAnsi"/>
                <w:b/>
                <w:bCs/>
                <w:noProof w:val="0"/>
                <w:kern w:val="0"/>
                <w:sz w:val="20"/>
                <w:szCs w:val="20"/>
                <w:lang w:val="en-US"/>
                <w14:ligatures w14:val="none"/>
              </w:rPr>
            </w:pPr>
            <w:r w:rsidRPr="0002740B">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2CB5D7F3"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Varese</w:t>
            </w:r>
          </w:p>
        </w:tc>
        <w:tc>
          <w:tcPr>
            <w:tcW w:w="655"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0AD2CA26"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11.500.000,00</w:t>
            </w:r>
          </w:p>
        </w:tc>
        <w:tc>
          <w:tcPr>
            <w:tcW w:w="493"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023E519F" w:rsidR="00F33C7E" w:rsidRPr="00F33C7E" w:rsidRDefault="00F33C7E" w:rsidP="00F33C7E">
            <w:pPr>
              <w:spacing w:after="0" w:line="240" w:lineRule="auto"/>
              <w:jc w:val="center"/>
              <w:rPr>
                <w:rFonts w:eastAsia="Times New Roman" w:cstheme="minorHAnsi"/>
                <w:noProof w:val="0"/>
                <w:kern w:val="0"/>
                <w:sz w:val="20"/>
                <w:szCs w:val="20"/>
                <w:lang w:val="en-US"/>
                <w14:ligatures w14:val="none"/>
              </w:rPr>
            </w:pPr>
            <w:r w:rsidRPr="00F33C7E">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1941C144"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Commissione Europea JRC — Joint Research Centre - Centro Comune di Ricerca di Ispra</w:t>
            </w:r>
          </w:p>
        </w:tc>
        <w:tc>
          <w:tcPr>
            <w:tcW w:w="2156" w:type="pct"/>
            <w:tcBorders>
              <w:top w:val="single" w:sz="4" w:space="0" w:color="BFBFBF" w:themeColor="background1" w:themeShade="BF"/>
              <w:left w:val="single" w:sz="4" w:space="0" w:color="BFBFBF" w:themeColor="background1" w:themeShade="BF"/>
              <w:right w:val="nil"/>
            </w:tcBorders>
            <w:vAlign w:val="center"/>
          </w:tcPr>
          <w:p w14:paraId="621D8FBE" w14:textId="385FA79D" w:rsidR="00F33C7E" w:rsidRPr="00F33C7E" w:rsidRDefault="00F33C7E" w:rsidP="00F33C7E">
            <w:pPr>
              <w:spacing w:after="0" w:line="240" w:lineRule="auto"/>
              <w:rPr>
                <w:rFonts w:eastAsia="Times New Roman" w:cstheme="minorHAnsi"/>
                <w:noProof w:val="0"/>
                <w:kern w:val="0"/>
                <w:sz w:val="20"/>
                <w:szCs w:val="20"/>
                <w14:ligatures w14:val="none"/>
              </w:rPr>
            </w:pPr>
            <w:r w:rsidRPr="00F33C7E">
              <w:rPr>
                <w:rFonts w:ascii="Calibri" w:hAnsi="Calibri" w:cs="Calibri"/>
                <w:sz w:val="20"/>
                <w:szCs w:val="20"/>
              </w:rPr>
              <w:t>EC-JRC/IPR/2026/OP/0029 - Accordo quadro - Supporto in loco al Laboratorio per la misurazione della radioattività del JRC</w:t>
            </w:r>
          </w:p>
        </w:tc>
      </w:tr>
      <w:tr w:rsidR="004F7FE9" w:rsidRPr="0002740B" w14:paraId="5D49B6BD" w14:textId="77777777" w:rsidTr="00C45709">
        <w:trPr>
          <w:trHeight w:val="20"/>
        </w:trPr>
        <w:tc>
          <w:tcPr>
            <w:tcW w:w="5000" w:type="pct"/>
            <w:gridSpan w:val="6"/>
            <w:tcBorders>
              <w:left w:val="nil"/>
              <w:right w:val="nil"/>
            </w:tcBorders>
            <w:shd w:val="clear" w:color="auto" w:fill="E7E6E6" w:themeFill="background2"/>
            <w:vAlign w:val="center"/>
          </w:tcPr>
          <w:p w14:paraId="07E7A8F7" w14:textId="6A582D29" w:rsidR="004F7FE9" w:rsidRPr="0002740B" w:rsidRDefault="004F7FE9" w:rsidP="00C45709">
            <w:pPr>
              <w:spacing w:after="0" w:line="240" w:lineRule="auto"/>
              <w:jc w:val="both"/>
              <w:rPr>
                <w:rFonts w:eastAsia="Times New Roman" w:cstheme="minorHAnsi"/>
                <w:b/>
                <w:bCs/>
                <w:noProof w:val="0"/>
                <w:kern w:val="0"/>
                <w:sz w:val="20"/>
                <w:szCs w:val="20"/>
                <w:lang w:val="en-US"/>
                <w14:ligatures w14:val="none"/>
              </w:rPr>
            </w:pPr>
            <w:r w:rsidRPr="0002740B">
              <w:rPr>
                <w:rFonts w:eastAsia="Times New Roman" w:cstheme="minorHAnsi"/>
                <w:b/>
                <w:bCs/>
                <w:noProof w:val="0"/>
                <w:kern w:val="0"/>
                <w:sz w:val="20"/>
                <w:szCs w:val="20"/>
                <w:lang w:val="en-US"/>
                <w14:ligatures w14:val="none"/>
              </w:rPr>
              <w:t>ALTRI BANDI</w:t>
            </w:r>
          </w:p>
        </w:tc>
      </w:tr>
      <w:tr w:rsidR="00F33C7E" w:rsidRPr="0002740B" w14:paraId="4CBDF39C"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070530C"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1CC672A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Trieste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38DB16E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5.807.262,74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014CBF3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76F5417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Autorità di Sistema Portuale del Mare Adriatico Orientale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32F3B5D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Prog. 2045 - Servizio di progettazione di fattibilità tecnica ed economica (PFTE) con opzione per le attività di direzione lavori e coordinamento per la sicurezza nei cantieri</w:t>
            </w:r>
          </w:p>
        </w:tc>
      </w:tr>
      <w:tr w:rsidR="00F33C7E" w:rsidRPr="0002740B" w14:paraId="2ABD88C7"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6C732" w14:textId="6D5DBC63"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47E4A" w14:textId="3B9390C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Parma - Reggio nell'Emilia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DAE67" w14:textId="778B72E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2.596.298,99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78973D" w14:textId="7E133D3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4EAF44" w14:textId="6356D42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Consorzio di Bonifica dell'Emilia Centrale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A68EB4" w14:textId="5BF567B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Procedura aperta per l'affidamento del contratto pubblico misto di servizi di ingegneria e architettura (attività prevalente), servizi tecnici specialistici e lavori relativo a "Prima fase del Progetto di fattibilità tecnico economica inerente la realizzazione di un invaso a scopi plurimi in ambito montano e altre azioni sinergiche per il soddisfacimento dei fabbisogni idrici della Val Denza nelle province di Reggio Emilia e Parma - c.p. 148/23/00"</w:t>
            </w:r>
          </w:p>
        </w:tc>
      </w:tr>
      <w:tr w:rsidR="00F33C7E" w:rsidRPr="0002740B" w14:paraId="503D44BE" w14:textId="77777777" w:rsidTr="00F33C7E">
        <w:trPr>
          <w:trHeight w:val="57"/>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34F7A9" w14:textId="6C0820FD"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0DDF2B" w14:textId="32076CB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Pesaro e Urbino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7471F" w14:textId="45FF7FE1"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2.585.100,00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02336" w14:textId="3D3914B2"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BC3D" w14:textId="7679199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ASET Spa - Azienda Servizi sul Territorio di Fano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99401C" w14:textId="66A69D6D"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Servizio di fornitura, installazione, configurazione e manutenzione di un sistema informativo per la gestione del servizio idrico integrato durata triennale con opzione di proroga per ulteriore triennio disgiunto</w:t>
            </w:r>
          </w:p>
        </w:tc>
      </w:tr>
      <w:tr w:rsidR="00F33C7E" w:rsidRPr="0002740B" w14:paraId="64FBD11C"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830D4E" w14:textId="389322CE"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252D7" w14:textId="0CC714AD"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Livorno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50ABFD" w14:textId="20814682"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2.000.000,00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E2F75C" w14:textId="71B71F10"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82DDC" w14:textId="36B9290D"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 xml:space="preserve">Terna Rete Italia SpA </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E44158F" w14:textId="73CF35E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2600055221 - Servizio di monitoraggio ambientale cavi marini SACOI 3 Versante francese</w:t>
            </w:r>
          </w:p>
        </w:tc>
      </w:tr>
      <w:tr w:rsidR="00F33C7E" w:rsidRPr="0002740B" w14:paraId="493C0C4F"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E158B67" w14:textId="5E888495"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1C9C2" w14:textId="0D1FBE9E"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5DB11" w14:textId="5CB4F299"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1.466.964,21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E1C881" w14:textId="36FA7B8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17/06/2026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D5F8F1" w14:textId="511C8F80"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Provincia Autonoma di Bolzano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7BC2DF6" w14:textId="305BA2B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TB IS 052026_S.42.11_Potenziamento delle corsie preferenziali del Metrobus Oltradige sulla S.S. 42 dal km 236+200 al km 238+600 (Comune di Appiano sulla Strada del Vino) in 3 lotti funzionali. Progettazione e coordinamento della sicurezza (inclusi rilievo plano-altimetrico e redazione elaborati per esproprio) – Lotti 1 e 2 – con opzione progettazione, coordinamento della sicurezza e prestazioni complementari (Lotto 3) e direzione lavori e coordinamento della sicurezza (lotti 1, 2 e 3) secondo la metodologia BIM</w:t>
            </w:r>
          </w:p>
        </w:tc>
      </w:tr>
      <w:tr w:rsidR="00F33C7E" w:rsidRPr="0002740B" w14:paraId="3E76AE04"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91F804" w14:textId="3005A4DA"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472B8" w14:textId="5F17FA5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Bolzano-Bozen</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1B856" w14:textId="377B81E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1.354.678,78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99DA0" w14:textId="1BFE570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01/07/2026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0C9A2" w14:textId="12E11FA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Comune di Selva di Val Gardena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C422C5" w14:textId="20A3DF0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Concorso di progettazione a procedura ristretta in un unica fase per l'elaborazione di un progetto di fattibilità tecnica ed economica per la realizzazione dell'opera: Centro Cultura e Congressi Selva di Val Gardena (parziale demolizione e ampliamento)</w:t>
            </w:r>
          </w:p>
        </w:tc>
      </w:tr>
      <w:tr w:rsidR="00F33C7E" w:rsidRPr="0002740B" w14:paraId="6795CEA0"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FEB01C" w14:textId="73A6E4AB"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70826" w14:textId="61A09CE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07BD1" w14:textId="36AED37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1.274.864,45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AA485" w14:textId="77B7377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664082" w14:textId="484F0F3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Provincia Autonoma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C58BEC" w14:textId="783D557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telematica n. 714-25 AT714-2025 in 3 lotti - Accordo quadro per l'affidamento del servizio di ispezione di ponti e viadotti di livello 1 della rete stradale e ciclopedonale della Provincia Autonoma di Trento - Lotto 2 Ufficio Centro</w:t>
            </w:r>
          </w:p>
        </w:tc>
      </w:tr>
      <w:tr w:rsidR="00F33C7E" w:rsidRPr="0002740B" w14:paraId="0CF90786" w14:textId="77777777" w:rsidTr="00F33C7E">
        <w:trPr>
          <w:trHeight w:val="113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24AD8F" w14:textId="5158C744"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33433" w14:textId="377B0FCE"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9635B5" w14:textId="12A87669"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1.168.372,61</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974EE7" w14:textId="3CCB7922"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AA7D8" w14:textId="5337D00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Provincia Autonoma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7C5DE96" w14:textId="2E6E4C5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telematica n. 714-25 AT714-2025 in 3 lotti - Accordo quadro per l'affidamento del servizio di ispezione di ponti e viadotti di livello 1 della rete stradale e ciclopedonale della Provincia Autonoma di Trento - Lotto 1 Ufficio Est</w:t>
            </w:r>
          </w:p>
        </w:tc>
      </w:tr>
      <w:tr w:rsidR="00F33C7E" w:rsidRPr="0002740B" w14:paraId="21E3D3D9"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8A249CA" w14:textId="3FF1EECC"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5A75F" w14:textId="0B3C4E4D"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Bergamo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2AAF3" w14:textId="14AA62C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1.141.928,70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4F209" w14:textId="18F82E5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C6213B" w14:textId="19218A09"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MEF - Agenzia del Demanio Direzione Territoriale Lombardia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5A5BC" w14:textId="3754C88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Progetto di fattibilità tecnico-economica, comprensivo delle indagini di approfondimento, della progettazione esecutiva e del CSE e CSP e di direzione lavori, per intervento di Miglioramento sismico ed efficientamento energetico - Comando Provinciale dei Carabinieri , Via delle Valli, Bergamo</w:t>
            </w:r>
          </w:p>
        </w:tc>
      </w:tr>
      <w:tr w:rsidR="00F33C7E" w:rsidRPr="0002740B" w14:paraId="10DC69B4"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42E84D" w14:textId="5163035A"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D69BD9" w14:textId="1CA6C6D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Trento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5D7C8" w14:textId="02D4287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1.050.640,49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3E88E" w14:textId="5EB0C26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D3B58" w14:textId="2938F2D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Provincia Autonoma di Trento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82A7BCD" w14:textId="2E1AF2F7"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telematica n. 714-25 AT714-2025 in 3 lotti - Accordo quadro per l'affidamento del servizio di ispezione di ponti e viadotti di livello 1 della rete stradale e ciclopedonale della Provincia Autonoma di Trento - Lotto 3 Ufficio Ovest</w:t>
            </w:r>
          </w:p>
        </w:tc>
      </w:tr>
      <w:tr w:rsidR="00F33C7E" w:rsidRPr="0002740B" w14:paraId="39957D92"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CFC62D" w14:textId="19B2CF36"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2977F" w14:textId="090DFBA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AB363" w14:textId="3AB934B2"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754.615,83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0A50C" w14:textId="7A1F1DAB"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B88D28" w14:textId="318A28F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Università degli Studi di Torino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0C2288" w14:textId="252B48D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in 3 lotti funzionali - Direzione lavori e coordinamento della sicurezza in fase di esecuzione. Lotto 1) Recupero e restauro conservativo dell'edificio denominato Fisico Vecchio, Via P. Giuria 1, Torino.</w:t>
            </w:r>
          </w:p>
        </w:tc>
      </w:tr>
      <w:tr w:rsidR="00F33C7E" w:rsidRPr="0002740B" w14:paraId="4B6A68DF"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F0C6D" w14:textId="2AB53C59" w:rsidR="00F33C7E" w:rsidRPr="0002740B" w:rsidRDefault="00F33C7E" w:rsidP="00F33C7E">
            <w:pPr>
              <w:spacing w:after="0" w:line="220" w:lineRule="exact"/>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8C88E3" w14:textId="2F1BD3B6"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Taranto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C5DC2" w14:textId="61381F99"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601.279,85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5A787" w14:textId="2DE6E865"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08CDE5" w14:textId="37170947"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Comune di Taranto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CF9A97" w14:textId="67E57ECF"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 xml:space="preserve">Procedura aperta per l'affidamento dei servizi tecnici di ingegneria e architettura per la Redazione del Progetto di </w:t>
            </w:r>
            <w:r w:rsidRPr="00F33C7E">
              <w:rPr>
                <w:rFonts w:ascii="Calibri" w:hAnsi="Calibri" w:cs="Calibri"/>
                <w:sz w:val="20"/>
                <w:szCs w:val="20"/>
              </w:rPr>
              <w:lastRenderedPageBreak/>
              <w:t>Fattibilità Tecnico-Economica (PFTE), Progettazione Esecutiva (PE), Coordinamento della Sicurezza in Fase di Progettazione (CSP), Direzione Lavori (DL) e Coordinamento della Sicurezza in Fase di Esecuzione (CSE) per l'intervento denominato "Estensione della Rete BRT del Comune di Taranto: realizzazione della Bretella di collegamento dalla Linea Rossa all'Ospedale San Cataldo"</w:t>
            </w:r>
          </w:p>
        </w:tc>
      </w:tr>
      <w:tr w:rsidR="00F33C7E" w:rsidRPr="0002740B" w14:paraId="48169314"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4620EE" w14:textId="6C83615E" w:rsidR="00F33C7E" w:rsidRPr="0002740B" w:rsidRDefault="00F33C7E" w:rsidP="00F33C7E">
            <w:pPr>
              <w:spacing w:after="0" w:line="220" w:lineRule="exact"/>
              <w:jc w:val="center"/>
              <w:rPr>
                <w:rFonts w:cstheme="minorHAnsi"/>
                <w:b/>
                <w:bCs/>
                <w:sz w:val="20"/>
                <w:szCs w:val="20"/>
              </w:rPr>
            </w:pPr>
            <w:r w:rsidRPr="0002740B">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6A3635" w14:textId="016AD581"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Bari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E70BC" w14:textId="201748DF"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582.995,24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7C233" w14:textId="72A382F4"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27/05/2026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51F990" w14:textId="0B463C1F"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Comune di Capurso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DFFDC0" w14:textId="7BD1DA03" w:rsidR="00F33C7E" w:rsidRPr="00F33C7E" w:rsidRDefault="00F33C7E" w:rsidP="00F33C7E">
            <w:pPr>
              <w:spacing w:after="0" w:line="220" w:lineRule="exact"/>
              <w:rPr>
                <w:rFonts w:cstheme="minorHAnsi"/>
                <w:sz w:val="20"/>
                <w:szCs w:val="20"/>
              </w:rPr>
            </w:pPr>
            <w:r w:rsidRPr="00F33C7E">
              <w:rPr>
                <w:rFonts w:ascii="Calibri" w:hAnsi="Calibri" w:cs="Calibri"/>
                <w:sz w:val="20"/>
                <w:szCs w:val="20"/>
              </w:rPr>
              <w:t>Procedura aperta per l'affidamento dei servizi di ingegneria ed architettura, progetto di fattibilità tecnica ed economica (per successivo appalto integrato), C.S.E., C.S.P., direzione lavori e prestazioni accessorie e specialistiche (in via opzionale progettazione esecutiva qualora l'amministrazione, per motivate esigenze di interesse pubblico, ritenga di non avvalersi dell'appalto integrato per la fase esecutiva,) relativi alla realizzazione del nuovo Palazzetto dello Sport in via Ugo Foscolo. Avviso pubblico "Sport e Periferie – 2025" emanato dalla Presidenza del Consiglio dei Ministri - Dipartimento per lo Sport, "Realizzazione di nuovi palazzetti per lo sport multifunzionali".</w:t>
            </w:r>
          </w:p>
        </w:tc>
      </w:tr>
      <w:tr w:rsidR="00F33C7E" w:rsidRPr="0002740B" w14:paraId="3F028C1A"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515486C" w14:textId="05EEA401"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882F20" w14:textId="363988A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4BAF0" w14:textId="20765E32"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535.530,04</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045AA3" w14:textId="763EBBE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5E3B2" w14:textId="3DC1FAB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Università degli Studi di Torino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CD249E" w14:textId="3CBBB2A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in 3 lotti funzionali - Direzione lavori e coordinamento della sicurezza in fase di esecuzione. Lotto 2) Riqualificazione e restauro conservativo degli edifici attualmente destinati a Dipartimenti di Chimica e Farmacia - Tetto, facciate, parti auliche, sito in Via P. Giuria, n. 5, 7, 9 e 11, Torino.</w:t>
            </w:r>
          </w:p>
        </w:tc>
      </w:tr>
      <w:tr w:rsidR="00F33C7E" w:rsidRPr="0002740B" w14:paraId="6B870CE4"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2F1D5D1" w14:textId="0997CD42"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4A724" w14:textId="0EE6E38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Torino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CDF6D" w14:textId="63AE5E6C"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501.627,40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044027" w14:textId="652B9E7A"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11/06/2026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DCCB1" w14:textId="1D94CD8E"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Università degli Studi di Torino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4288CE" w14:textId="0B6CA941"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in 3 lotti funzionali - Direzione lavori e coordinamento della sicurezza in fase di esecuzione. Lotto 3) Rifacimento della copertura con recupero del sottotetto e restauro delle facciate dell'edificio denominato Ex Istituti Anatomici C.so M. D'Azeglio, 52 Torino.</w:t>
            </w:r>
          </w:p>
        </w:tc>
      </w:tr>
      <w:tr w:rsidR="00F33C7E" w:rsidRPr="0002740B" w14:paraId="79321F68"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719CF0F" w14:textId="44905DA0"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293D3A" w14:textId="0E2D0C60"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Enna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1EBE8C" w14:textId="53C851D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477.090,89</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0F107" w14:textId="34C923C9"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29/06/2026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B703D" w14:textId="6435CC71"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Libero Consorzio Comunale di Enna già Provincia Regionale di Enna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FD8DB4" w14:textId="7EC29FDF"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Gara 2026/459 - Affidamento dei servizi di ingegneria e architettura relativi alla redazione del progetto di fattibilità tecnico economica, del progetto esecutivo, geologo, archeologo e al coordinamento della sicurezza in fase di progettazione, con opzione per la direzione dei lavori e il coordinamento sicurezza in fase di esecuzione - Lavori di costruzione di un nuovo tratto di variante tra le attuali progressive km 0+000 e km 4+000 della s.p. n. 22 di Gagliano Castelferrato - Completamento e adeguamento strutturale alle NTC/2018 - FSC 108 - FSCRI_RI 3946 - Programmazione FSC 2021-2027</w:t>
            </w:r>
          </w:p>
        </w:tc>
      </w:tr>
      <w:tr w:rsidR="00F33C7E" w:rsidRPr="0002740B" w14:paraId="2717B2C5"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EBE413" w14:textId="0025FB68"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997A26" w14:textId="33BB601C"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Arezzo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00E6C" w14:textId="0C809B34"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403.504,95</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62092" w14:textId="66C8A860"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04/06/2026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C6AFE" w14:textId="3279E4C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Comune di Arezzo</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AA13FC1" w14:textId="6F048258"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Servizio di ispezione, controllo e monitoraggio connessi alla gestione dei rifiuti urbani del comune</w:t>
            </w:r>
          </w:p>
        </w:tc>
      </w:tr>
      <w:tr w:rsidR="00F33C7E" w:rsidRPr="0002740B" w14:paraId="61B93B47"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2F589B" w14:textId="1540030C" w:rsidR="00F33C7E" w:rsidRPr="0002740B" w:rsidRDefault="00F33C7E" w:rsidP="00F33C7E">
            <w:pPr>
              <w:spacing w:after="0" w:line="240" w:lineRule="auto"/>
              <w:rPr>
                <w:rFonts w:cstheme="minorHAnsi"/>
                <w:b/>
                <w:bCs/>
                <w:sz w:val="20"/>
                <w:szCs w:val="20"/>
              </w:rPr>
            </w:pPr>
            <w:r w:rsidRPr="00065196">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725B3" w14:textId="4FD9B2BC"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Udine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1E1361" w14:textId="46653535"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343.854,50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A316E" w14:textId="11FB7383"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6FD7D" w14:textId="5380F5AC"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EDR Udine - Ente di Decentramento Regionale di Udine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57648D" w14:textId="455BAF4E" w:rsidR="00F33C7E" w:rsidRPr="00F33C7E" w:rsidRDefault="00F33C7E" w:rsidP="00F33C7E">
            <w:pPr>
              <w:spacing w:after="0" w:line="240" w:lineRule="auto"/>
              <w:rPr>
                <w:rFonts w:cstheme="minorHAnsi"/>
                <w:sz w:val="20"/>
                <w:szCs w:val="20"/>
              </w:rPr>
            </w:pPr>
            <w:r w:rsidRPr="00F33C7E">
              <w:rPr>
                <w:rFonts w:ascii="Calibri" w:hAnsi="Calibri" w:cs="Calibri"/>
                <w:sz w:val="20"/>
                <w:szCs w:val="20"/>
              </w:rPr>
              <w:t>Opera 0148 - Intervento di manutenzione straordinaria per la messa in sicurezza di elementi non strutturali, solai, controsoffitti, coperture e rinforzo strutturale presso il liceo classico J. Stellini di Udine - Affidamento dei servizi tecnici di progettazione di fattibilità tecnico economica, progettazione esecutiva, coordinamento della sicurezza in fase di progettazione ed esecuzione, direzione lavori con costituzione dell'ufficio di direzione lavori.</w:t>
            </w:r>
          </w:p>
        </w:tc>
      </w:tr>
      <w:tr w:rsidR="00F33C7E" w:rsidRPr="0002740B" w14:paraId="0DB7F5C1"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7357FA" w14:textId="53C1AC1D"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02BE1A" w14:textId="696120E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Genova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43D2B3" w14:textId="4E38D28D"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313.223,22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F6DC31" w14:textId="74F25CBC"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18/06/2026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6A225C" w14:textId="10DC9F9F"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Genova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AB50619" w14:textId="7AE44C08"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Programma nazionale metro plus e città medie del sud 2021/2027 - Codice progetto GE7.5.1.1.B, teatro nazionale Molassana - Affidamento del servizio di progettazione esecutiva, comprensivo del coordinamento della sicurezza in fase di progettazione, dell'intervento di recupero e riqualificazione dell'ex cinematografo nazionale a Molassana.</w:t>
            </w:r>
          </w:p>
        </w:tc>
      </w:tr>
      <w:tr w:rsidR="00F33C7E" w:rsidRPr="0002740B" w14:paraId="33AB7FB5"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55BAC93" w14:textId="47F4BCAF"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87DD7" w14:textId="2345D4B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Cagliari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004CF0" w14:textId="48FECD4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308.368,50</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476FD" w14:textId="72169B66"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C603" w14:textId="2F9B1EE6"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Regione Autonoma della Sardegna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AA55D4" w14:textId="0BDE61B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Servizi di assistenza tecnica per la realizzazione delle Azioni per la governance e attuazione della Regional Smart Specialisation Strategy (S3) - PR FSC 2021-2027</w:t>
            </w:r>
          </w:p>
        </w:tc>
      </w:tr>
      <w:tr w:rsidR="00F33C7E" w:rsidRPr="0002740B" w14:paraId="14723A03"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EA7AE01" w14:textId="12F771D9"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B1F34" w14:textId="6D576A84"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Salerno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8CDC5" w14:textId="4D9E3D44"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285.602,58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ABF6B" w14:textId="4AA14886"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14/06/2026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0E3A96" w14:textId="286808F5"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Ausino Spa - Servizi Idrici Integrati di Cava De' Tirreni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1EA4BFF" w14:textId="3A2C7566"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Affidamento dei servizi tecnici di progettazione di fattibilità tecnico-economica, progettazione esecutiva, coordinamento della sicurezza in fase di progettazione e servizio opzionale di direzione lavori, misura e contabilità e assistenza al collaudo per gli "Interventi per la risoluzione delle principali criticità della rete fognaria del comune di Cava de' Tirreni (SA).</w:t>
            </w:r>
          </w:p>
        </w:tc>
      </w:tr>
      <w:tr w:rsidR="00F33C7E" w:rsidRPr="0002740B" w14:paraId="29BEF9E8"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D28420B" w14:textId="39D7575E"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7A9AFF" w14:textId="56A08E1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Roma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98CF39" w14:textId="6877DF7F"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273.021,18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52AC74" w14:textId="59C5EE7E"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26/06/2026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AEA373" w14:textId="195B2C12"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Presidenza del Consiglio dei Ministri di Roma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C14D4B" w14:textId="59B66F4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Servizi di progettazione esecutiva, direzione dei lavori e coordinamento della sicurezza in fase di progettazione ed esecuzione dei lavori di restauro delle facciate di Palazzo Cornaro, sede della Presidenza del Consiglio dei ministri</w:t>
            </w:r>
          </w:p>
        </w:tc>
      </w:tr>
      <w:tr w:rsidR="00F33C7E" w:rsidRPr="0002740B" w14:paraId="1D56DEA3"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442A1F" w14:textId="153F7A35"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0A707" w14:textId="46D7CE3C"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Varese</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4811F" w14:textId="600FACA9"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272.734,22</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3A6A56" w14:textId="545FB991"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29/05/2026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0E4A8C" w14:textId="0F3EE31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Ferrovie Nord SpA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EA684" w14:textId="0C9BE52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Servizio di verifica e assistenza al Responsabile del procedimento ai fini della validazione ai sensi del'lart. 42 del d.lgs. 36/2023 e s.m.i. del progetto di fattibilità tecnica economica e del progetto esecutivo della riqualificazione urbana Fili Busto Arsizio.</w:t>
            </w:r>
          </w:p>
        </w:tc>
      </w:tr>
      <w:tr w:rsidR="00F33C7E" w:rsidRPr="0002740B" w14:paraId="598BCEAB"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8A7CE09" w14:textId="3F3FFA8D"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7F94C" w14:textId="53B2B60D"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Sassari</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43C423" w14:textId="09FEE2FF"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247.936,27</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C818EF" w14:textId="1257150D"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15/06/2026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712E5E" w14:textId="31CF40F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Sassari</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B0C7FB2" w14:textId="76FCABEE"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Servizio di progettazione PFTE ed esecutiva e coordinamento della sicurezza in fase di progettazione - Museo per l'Arte del Novecento e del Contemporaneo – Lavori e allestimento museale–ex Convento del Carmelo</w:t>
            </w:r>
          </w:p>
        </w:tc>
      </w:tr>
      <w:tr w:rsidR="00F33C7E" w:rsidRPr="0002740B" w14:paraId="60A599FD"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705ABE6" w14:textId="147BCF03"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074D1" w14:textId="565CC5FE"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Pescara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E3CBC" w14:textId="402476EB"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213.139,28</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CC4B9" w14:textId="51F2E073"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30/05/2026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F3D18A" w14:textId="6D9975C4"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San Valentino in Abruzzo Citeriore</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BA56ED" w14:textId="3347BFD0"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 xml:space="preserve">Indagine di mercato per la selezione di professionisti da invitare alla procedura negoziata senza bando, ai sensi dell'art. 50, comma 1, lett. e) del D.Lgs. 36/2023, per l'affidamento dei servizi di ingegneria e architettura relativi alla redazione del progetto di </w:t>
            </w:r>
            <w:r w:rsidRPr="00F33C7E">
              <w:rPr>
                <w:rFonts w:ascii="Calibri" w:hAnsi="Calibri" w:cs="Calibri"/>
                <w:sz w:val="20"/>
                <w:szCs w:val="20"/>
              </w:rPr>
              <w:lastRenderedPageBreak/>
              <w:t>fattibilità tecnica ed economica (PFTE), di importo inferiore alle soglie di rilevanza europea di cui all'art. 14 del medesimo decreto, in vista del successivo appalto integrato, per l'intervento: riparazione, restauro e risanamento conservativo del Castello Farnese danneggiato dagli eventi sismici del 6 aprile 2009.</w:t>
            </w:r>
          </w:p>
        </w:tc>
      </w:tr>
      <w:tr w:rsidR="00F33C7E" w:rsidRPr="0002740B" w14:paraId="2B0D7818"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C115B39" w14:textId="6CC16D1F" w:rsidR="00F33C7E" w:rsidRPr="0002740B" w:rsidRDefault="00F33C7E" w:rsidP="00F33C7E">
            <w:pPr>
              <w:spacing w:after="0" w:line="240" w:lineRule="auto"/>
              <w:rPr>
                <w:rFonts w:cstheme="minorHAnsi"/>
                <w:b/>
                <w:bCs/>
                <w:sz w:val="20"/>
                <w:szCs w:val="20"/>
              </w:rPr>
            </w:pPr>
            <w:r w:rsidRPr="00065196">
              <w:rPr>
                <w:rFonts w:cstheme="minorHAnsi"/>
                <w:b/>
                <w:bCs/>
                <w:sz w:val="20"/>
                <w:szCs w:val="20"/>
              </w:rPr>
              <w:lastRenderedPageBreak/>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56B27" w14:textId="62965FB5"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Cuneo</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4CA205" w14:textId="3DE29818"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181.747,03</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F04E0A" w14:textId="38F1956E"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19/05/2026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EEC6A1" w14:textId="26FE6618"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Alba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E46BEAA" w14:textId="089F64FD"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Procedura negoziata senza pubblicazione di un bando ai sensi art. 76 comma 5 del d.lgs. 36/2023, per l'affidamento dell'incarico di redazione del progetto esecutivo e di coordinamento della sicurezza in fase progettuale relativi al "Percorso Ciclabile Alba – Canelli", nell'ambito del progetto "Piemonta in bici: interventi infrastrutturali strategici di mobilità ciclistica nelle aree dei siti Unesco (Residenze Sabaude e Langhe, Roero e Monferrato) e del lago Maggiore"</w:t>
            </w:r>
          </w:p>
        </w:tc>
      </w:tr>
      <w:tr w:rsidR="00F33C7E" w:rsidRPr="0002740B" w14:paraId="38BBAB87" w14:textId="77777777" w:rsidTr="00F33C7E">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5D12CE" w14:textId="53841F98" w:rsidR="00F33C7E" w:rsidRPr="0002740B" w:rsidRDefault="00F33C7E" w:rsidP="00F33C7E">
            <w:pPr>
              <w:spacing w:after="0" w:line="240" w:lineRule="auto"/>
              <w:rPr>
                <w:rFonts w:cstheme="minorHAnsi"/>
                <w:b/>
                <w:bCs/>
                <w:sz w:val="20"/>
                <w:szCs w:val="20"/>
              </w:rPr>
            </w:pPr>
            <w:r w:rsidRPr="00065196">
              <w:rPr>
                <w:rFonts w:cstheme="minorHAnsi"/>
                <w:b/>
                <w:bCs/>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A7619E" w14:textId="65F1EF36"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Cosenza</w:t>
            </w:r>
          </w:p>
        </w:tc>
        <w:tc>
          <w:tcPr>
            <w:tcW w:w="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58E31C" w14:textId="0D72D864"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177.554,46</w:t>
            </w:r>
          </w:p>
        </w:tc>
        <w:tc>
          <w:tcPr>
            <w:tcW w:w="4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D748D" w14:textId="09E42BC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28/05/2026</w:t>
            </w:r>
          </w:p>
        </w:tc>
        <w:tc>
          <w:tcPr>
            <w:tcW w:w="7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D14B9" w14:textId="117034A8"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Scalea</w:t>
            </w:r>
          </w:p>
        </w:tc>
        <w:tc>
          <w:tcPr>
            <w:tcW w:w="215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A50CC54" w14:textId="18A0CFD3"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Procedura di gara aperta, ai sensi dell'art. 71 comma 1 e comma 3 del d.lgs. 36/2023 (accelerata) - sotto soglia comunitaria per l'affidamento dei servizi di ingegneria ed architettura relativi a Progetto di fattibilità tecnica ed economica, Progetto esecutivo, Direzione lavori e Coordinamento della sicurezza di in fase di progettazione ed esecuzione per efficientamento energetico dell'edificio scolastico di proprietà comunale sito in via Fazio Degli Uberti nel Comune di Scalea - Scuola Primaria</w:t>
            </w:r>
          </w:p>
        </w:tc>
      </w:tr>
      <w:tr w:rsidR="00F33C7E" w:rsidRPr="0002740B" w14:paraId="595EACEE" w14:textId="77777777" w:rsidTr="00F33C7E">
        <w:trPr>
          <w:trHeight w:val="20"/>
        </w:trPr>
        <w:tc>
          <w:tcPr>
            <w:tcW w:w="438" w:type="pct"/>
            <w:tcBorders>
              <w:top w:val="dotted" w:sz="4" w:space="0" w:color="BFBFBF" w:themeColor="background1" w:themeShade="BF"/>
              <w:left w:val="nil"/>
              <w:bottom w:val="single" w:sz="24" w:space="0" w:color="BFBFBF" w:themeColor="background1" w:themeShade="BF"/>
            </w:tcBorders>
            <w:vAlign w:val="center"/>
          </w:tcPr>
          <w:p w14:paraId="4FDEC586" w14:textId="6CB1AF8F" w:rsidR="00F33C7E" w:rsidRPr="0002740B" w:rsidRDefault="00F33C7E" w:rsidP="00F33C7E">
            <w:pPr>
              <w:spacing w:after="0" w:line="240" w:lineRule="auto"/>
              <w:jc w:val="center"/>
              <w:rPr>
                <w:rFonts w:cstheme="minorHAnsi"/>
                <w:b/>
                <w:bCs/>
                <w:sz w:val="20"/>
                <w:szCs w:val="20"/>
              </w:rPr>
            </w:pPr>
            <w:r w:rsidRPr="0002740B">
              <w:rPr>
                <w:rFonts w:cstheme="minorHAnsi"/>
                <w:b/>
                <w:bCs/>
                <w:sz w:val="20"/>
                <w:szCs w:val="20"/>
              </w:rPr>
              <w:t>Altri bandi</w:t>
            </w:r>
          </w:p>
        </w:tc>
        <w:tc>
          <w:tcPr>
            <w:tcW w:w="547" w:type="pct"/>
            <w:tcBorders>
              <w:top w:val="dotted" w:sz="4" w:space="0" w:color="BFBFBF" w:themeColor="background1" w:themeShade="BF"/>
              <w:bottom w:val="single" w:sz="24" w:space="0" w:color="BFBFBF" w:themeColor="background1" w:themeShade="BF"/>
            </w:tcBorders>
            <w:vAlign w:val="center"/>
          </w:tcPr>
          <w:p w14:paraId="304C7BD9" w14:textId="1CF0E371"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Cosenza</w:t>
            </w:r>
          </w:p>
        </w:tc>
        <w:tc>
          <w:tcPr>
            <w:tcW w:w="655" w:type="pct"/>
            <w:tcBorders>
              <w:top w:val="dotted" w:sz="4" w:space="0" w:color="BFBFBF" w:themeColor="background1" w:themeShade="BF"/>
              <w:bottom w:val="single" w:sz="24" w:space="0" w:color="BFBFBF" w:themeColor="background1" w:themeShade="BF"/>
            </w:tcBorders>
            <w:vAlign w:val="center"/>
          </w:tcPr>
          <w:p w14:paraId="01380954" w14:textId="4BC65DE4"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177.554,46</w:t>
            </w:r>
          </w:p>
        </w:tc>
        <w:tc>
          <w:tcPr>
            <w:tcW w:w="493" w:type="pct"/>
            <w:tcBorders>
              <w:top w:val="dotted" w:sz="4" w:space="0" w:color="BFBFBF" w:themeColor="background1" w:themeShade="BF"/>
              <w:bottom w:val="single" w:sz="24" w:space="0" w:color="BFBFBF" w:themeColor="background1" w:themeShade="BF"/>
            </w:tcBorders>
            <w:vAlign w:val="center"/>
          </w:tcPr>
          <w:p w14:paraId="5DCA98A8" w14:textId="4B90FB67"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29/05/2026</w:t>
            </w:r>
          </w:p>
        </w:tc>
        <w:tc>
          <w:tcPr>
            <w:tcW w:w="711" w:type="pct"/>
            <w:tcBorders>
              <w:top w:val="dotted" w:sz="4" w:space="0" w:color="BFBFBF" w:themeColor="background1" w:themeShade="BF"/>
              <w:bottom w:val="single" w:sz="24" w:space="0" w:color="BFBFBF" w:themeColor="background1" w:themeShade="BF"/>
            </w:tcBorders>
            <w:vAlign w:val="center"/>
          </w:tcPr>
          <w:p w14:paraId="404F4744" w14:textId="4B852012"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Comune di Scalea</w:t>
            </w:r>
          </w:p>
        </w:tc>
        <w:tc>
          <w:tcPr>
            <w:tcW w:w="2156" w:type="pct"/>
            <w:tcBorders>
              <w:top w:val="dotted" w:sz="4" w:space="0" w:color="BFBFBF" w:themeColor="background1" w:themeShade="BF"/>
              <w:bottom w:val="single" w:sz="24" w:space="0" w:color="BFBFBF" w:themeColor="background1" w:themeShade="BF"/>
              <w:right w:val="nil"/>
            </w:tcBorders>
            <w:vAlign w:val="center"/>
          </w:tcPr>
          <w:p w14:paraId="3C6DBFAA" w14:textId="31030A2E" w:rsidR="00F33C7E" w:rsidRPr="00F33C7E" w:rsidRDefault="00F33C7E" w:rsidP="00F33C7E">
            <w:pPr>
              <w:spacing w:after="0" w:line="240" w:lineRule="auto"/>
              <w:rPr>
                <w:rFonts w:ascii="Calibri" w:hAnsi="Calibri" w:cs="Calibri"/>
                <w:sz w:val="20"/>
                <w:szCs w:val="20"/>
              </w:rPr>
            </w:pPr>
            <w:r w:rsidRPr="00F33C7E">
              <w:rPr>
                <w:rFonts w:ascii="Calibri" w:hAnsi="Calibri" w:cs="Calibri"/>
                <w:sz w:val="20"/>
                <w:szCs w:val="20"/>
              </w:rPr>
              <w:t>Procedura di gara aperta, ai sensi dell'art. 71 comma 1 e comma 3 del d.lgs. 36/2023 (accelerata) - sotto soglia comunitaria per l'affidamento dei servizi di ingegneria ed architettura relativi a Progetto di fattibilità tecnica ed economica, Progetto esecutivo, Direzione lavori e Coordinamento della sicurezza di in fase di progettazione ed esecuzione per efficientamento energetico dell'edificio scolastico di proprietà comunale sito in via Fazio Degli Uberti nel Comune di Scalea - Scuola Secondaria</w:t>
            </w:r>
          </w:p>
        </w:tc>
      </w:tr>
    </w:tbl>
    <w:p w14:paraId="65EF8CBC" w14:textId="2C282A01" w:rsidR="00607962" w:rsidRDefault="00BE484B" w:rsidP="00C5356E">
      <w:pPr>
        <w:tabs>
          <w:tab w:val="left" w:pos="11101"/>
        </w:tabs>
        <w:spacing w:after="0" w:line="240" w:lineRule="auto"/>
        <w:rPr>
          <w:rFonts w:eastAsia="Times New Roman" w:cstheme="minorHAnsi"/>
          <w:noProof w:val="0"/>
          <w:kern w:val="0"/>
          <w14:ligatures w14:val="none"/>
        </w:rPr>
      </w:pPr>
      <w:r w:rsidRPr="00CE3A09">
        <w:rPr>
          <w:rFonts w:eastAsia="Times New Roman" w:cstheme="minorHAnsi"/>
          <w:noProof w:val="0"/>
          <w:kern w:val="0"/>
          <w14:ligatures w14:val="none"/>
        </w:rPr>
        <w:t>Fonte: ONSAI - Osservatorio Nazionale Servizi Architettura e Ingegneria CNAPPC-CRESME ES</w:t>
      </w:r>
    </w:p>
    <w:sectPr w:rsidR="00607962"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2740B"/>
    <w:rsid w:val="00034BA0"/>
    <w:rsid w:val="00056C34"/>
    <w:rsid w:val="00070EEA"/>
    <w:rsid w:val="00082AA5"/>
    <w:rsid w:val="00086FAC"/>
    <w:rsid w:val="000912C8"/>
    <w:rsid w:val="000D23B7"/>
    <w:rsid w:val="000D7D9E"/>
    <w:rsid w:val="00114B13"/>
    <w:rsid w:val="00123AF8"/>
    <w:rsid w:val="00124514"/>
    <w:rsid w:val="00132D9A"/>
    <w:rsid w:val="001472C8"/>
    <w:rsid w:val="00152DCE"/>
    <w:rsid w:val="001548E2"/>
    <w:rsid w:val="001647EE"/>
    <w:rsid w:val="001A0057"/>
    <w:rsid w:val="001C6C1B"/>
    <w:rsid w:val="001E1112"/>
    <w:rsid w:val="001E5091"/>
    <w:rsid w:val="001F79C3"/>
    <w:rsid w:val="001F7B32"/>
    <w:rsid w:val="00212506"/>
    <w:rsid w:val="00220990"/>
    <w:rsid w:val="00225B5B"/>
    <w:rsid w:val="0023244D"/>
    <w:rsid w:val="002B265E"/>
    <w:rsid w:val="002C2A9A"/>
    <w:rsid w:val="002C6DAA"/>
    <w:rsid w:val="002D66AA"/>
    <w:rsid w:val="002D6B7D"/>
    <w:rsid w:val="002E611D"/>
    <w:rsid w:val="00301BE3"/>
    <w:rsid w:val="0030720C"/>
    <w:rsid w:val="0032700D"/>
    <w:rsid w:val="0038012F"/>
    <w:rsid w:val="00386B8E"/>
    <w:rsid w:val="0038789C"/>
    <w:rsid w:val="00396EFB"/>
    <w:rsid w:val="003C62AB"/>
    <w:rsid w:val="003E2B00"/>
    <w:rsid w:val="003E4526"/>
    <w:rsid w:val="003E5E42"/>
    <w:rsid w:val="003F1DDA"/>
    <w:rsid w:val="0040469C"/>
    <w:rsid w:val="00425326"/>
    <w:rsid w:val="00450C59"/>
    <w:rsid w:val="00453A41"/>
    <w:rsid w:val="00482154"/>
    <w:rsid w:val="004A0D01"/>
    <w:rsid w:val="004B2006"/>
    <w:rsid w:val="004C1CAB"/>
    <w:rsid w:val="004F7FE9"/>
    <w:rsid w:val="00514329"/>
    <w:rsid w:val="00514D28"/>
    <w:rsid w:val="005664AA"/>
    <w:rsid w:val="0056738B"/>
    <w:rsid w:val="00587300"/>
    <w:rsid w:val="0058767D"/>
    <w:rsid w:val="005A4601"/>
    <w:rsid w:val="005A5800"/>
    <w:rsid w:val="005B1C51"/>
    <w:rsid w:val="005C4C89"/>
    <w:rsid w:val="005C6AAB"/>
    <w:rsid w:val="005D34EE"/>
    <w:rsid w:val="00603D03"/>
    <w:rsid w:val="00607962"/>
    <w:rsid w:val="0061177F"/>
    <w:rsid w:val="00612200"/>
    <w:rsid w:val="00615B59"/>
    <w:rsid w:val="006427C1"/>
    <w:rsid w:val="00666792"/>
    <w:rsid w:val="00681AD3"/>
    <w:rsid w:val="006A1C3E"/>
    <w:rsid w:val="006A2A32"/>
    <w:rsid w:val="006B6B27"/>
    <w:rsid w:val="006D37F3"/>
    <w:rsid w:val="006F2950"/>
    <w:rsid w:val="006F663C"/>
    <w:rsid w:val="00704682"/>
    <w:rsid w:val="007103C2"/>
    <w:rsid w:val="007157F6"/>
    <w:rsid w:val="00734687"/>
    <w:rsid w:val="007358E4"/>
    <w:rsid w:val="007606ED"/>
    <w:rsid w:val="007D5EAE"/>
    <w:rsid w:val="007D7EDD"/>
    <w:rsid w:val="00801014"/>
    <w:rsid w:val="00804214"/>
    <w:rsid w:val="00806B3C"/>
    <w:rsid w:val="00812EE1"/>
    <w:rsid w:val="00851914"/>
    <w:rsid w:val="008533EA"/>
    <w:rsid w:val="0089490D"/>
    <w:rsid w:val="008A0668"/>
    <w:rsid w:val="008B1081"/>
    <w:rsid w:val="008C06BF"/>
    <w:rsid w:val="008E2EBE"/>
    <w:rsid w:val="009025F9"/>
    <w:rsid w:val="00906DBE"/>
    <w:rsid w:val="00917C5F"/>
    <w:rsid w:val="009357C2"/>
    <w:rsid w:val="00936872"/>
    <w:rsid w:val="0094078D"/>
    <w:rsid w:val="00946562"/>
    <w:rsid w:val="009664CE"/>
    <w:rsid w:val="009858CF"/>
    <w:rsid w:val="009A1A9B"/>
    <w:rsid w:val="009F490F"/>
    <w:rsid w:val="00A12EAB"/>
    <w:rsid w:val="00A477F0"/>
    <w:rsid w:val="00A6502B"/>
    <w:rsid w:val="00A72F02"/>
    <w:rsid w:val="00A849EE"/>
    <w:rsid w:val="00A85FF3"/>
    <w:rsid w:val="00A91034"/>
    <w:rsid w:val="00AC46A2"/>
    <w:rsid w:val="00AD108D"/>
    <w:rsid w:val="00AD7D87"/>
    <w:rsid w:val="00B36A9A"/>
    <w:rsid w:val="00B64495"/>
    <w:rsid w:val="00BA500C"/>
    <w:rsid w:val="00BB7A45"/>
    <w:rsid w:val="00BD35F9"/>
    <w:rsid w:val="00BD6AD7"/>
    <w:rsid w:val="00BE484B"/>
    <w:rsid w:val="00C11B2F"/>
    <w:rsid w:val="00C32EB0"/>
    <w:rsid w:val="00C34860"/>
    <w:rsid w:val="00C45709"/>
    <w:rsid w:val="00C5356E"/>
    <w:rsid w:val="00C64E5D"/>
    <w:rsid w:val="00C7592D"/>
    <w:rsid w:val="00CE3A09"/>
    <w:rsid w:val="00CE4157"/>
    <w:rsid w:val="00D86D95"/>
    <w:rsid w:val="00DA429F"/>
    <w:rsid w:val="00DC4250"/>
    <w:rsid w:val="00DE2C24"/>
    <w:rsid w:val="00DF38CC"/>
    <w:rsid w:val="00DF6955"/>
    <w:rsid w:val="00E05930"/>
    <w:rsid w:val="00E316E3"/>
    <w:rsid w:val="00E43BEF"/>
    <w:rsid w:val="00E45A5D"/>
    <w:rsid w:val="00E45FCE"/>
    <w:rsid w:val="00E471F6"/>
    <w:rsid w:val="00E6542C"/>
    <w:rsid w:val="00E81EB2"/>
    <w:rsid w:val="00E83C5B"/>
    <w:rsid w:val="00E84F0C"/>
    <w:rsid w:val="00E85D78"/>
    <w:rsid w:val="00EA4715"/>
    <w:rsid w:val="00EB0A0C"/>
    <w:rsid w:val="00EE1A68"/>
    <w:rsid w:val="00F33C7E"/>
    <w:rsid w:val="00F54F32"/>
    <w:rsid w:val="00F61F1B"/>
    <w:rsid w:val="00F641B0"/>
    <w:rsid w:val="00F66DC9"/>
    <w:rsid w:val="00F77F76"/>
    <w:rsid w:val="00F902AB"/>
    <w:rsid w:val="00FC1F76"/>
    <w:rsid w:val="00FC2031"/>
    <w:rsid w:val="00FC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6</Pages>
  <Words>2399</Words>
  <Characters>13677</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Mercedes Tascedda</cp:lastModifiedBy>
  <cp:revision>76</cp:revision>
  <dcterms:created xsi:type="dcterms:W3CDTF">2025-07-25T18:40:00Z</dcterms:created>
  <dcterms:modified xsi:type="dcterms:W3CDTF">2026-05-16T07:33:00Z</dcterms:modified>
</cp:coreProperties>
</file>