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31878C61"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settimana </w:t>
      </w:r>
      <w:r w:rsidR="00A91034">
        <w:rPr>
          <w:b/>
          <w:bCs/>
          <w:color w:val="auto"/>
          <w:sz w:val="22"/>
          <w:szCs w:val="22"/>
        </w:rPr>
        <w:t>6-12 di</w:t>
      </w:r>
      <w:r w:rsidR="00B64495">
        <w:rPr>
          <w:b/>
          <w:bCs/>
          <w:color w:val="auto"/>
          <w:sz w:val="22"/>
          <w:szCs w:val="22"/>
        </w:rPr>
        <w:t>cembre</w:t>
      </w:r>
      <w:r w:rsidR="00801014" w:rsidRPr="00CE3A09">
        <w:rPr>
          <w:b/>
          <w:bCs/>
          <w:color w:val="auto"/>
          <w:sz w:val="22"/>
          <w:szCs w:val="22"/>
        </w:rPr>
        <w:t xml:space="preserve"> </w:t>
      </w:r>
      <w:r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1472C8">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A91034" w:rsidRPr="00CE3A09" w14:paraId="002C4510" w14:textId="77777777" w:rsidTr="00A91034">
        <w:trPr>
          <w:trHeight w:val="56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305BD3E4" w:rsidR="00A91034" w:rsidRPr="0032700D" w:rsidRDefault="00A91034" w:rsidP="00A91034">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23204E69"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20.795.550,00</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50476F81"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02/02/2026</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7D8207C9"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Terna Rete Italia SpA </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697E580A"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Gara 2600053355 - Rilievo marino preliminare dell'interconnessione HVDC tra Italia e Grecia - GRITA2</w:t>
            </w:r>
          </w:p>
        </w:tc>
      </w:tr>
      <w:tr w:rsidR="00A91034" w:rsidRPr="00CE3A09" w14:paraId="6F0ED491" w14:textId="77777777" w:rsidTr="00A91034">
        <w:trPr>
          <w:trHeight w:val="56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58C9A62C"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Como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4661F69D"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7DFC5FBB"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2F9C84A7"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Como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7DE86588"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Accordo quadro con unico operatore, del servizio di verifica della progettazione, ai sensi dell'art. 42 D.lgs. 36/2023</w:t>
            </w:r>
          </w:p>
        </w:tc>
      </w:tr>
      <w:tr w:rsidR="00A91034" w:rsidRPr="00CE3A09" w14:paraId="04DB759A"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A91034" w:rsidRPr="009F490F" w:rsidRDefault="00A91034" w:rsidP="00A91034">
            <w:pPr>
              <w:spacing w:after="0" w:line="240" w:lineRule="auto"/>
              <w:jc w:val="center"/>
              <w:rPr>
                <w:rFonts w:cstheme="minorHAnsi"/>
                <w:b/>
                <w:bCs/>
                <w:sz w:val="20"/>
                <w:szCs w:val="20"/>
              </w:rPr>
            </w:pPr>
            <w:r w:rsidRPr="009F490F">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32066FC4" w:rsidR="00A91034" w:rsidRPr="0032700D" w:rsidRDefault="00A91034" w:rsidP="00A91034">
            <w:pPr>
              <w:spacing w:after="0" w:line="240" w:lineRule="auto"/>
              <w:jc w:val="center"/>
              <w:rPr>
                <w:rFonts w:cstheme="minorHAnsi"/>
                <w:sz w:val="20"/>
                <w:szCs w:val="20"/>
              </w:rPr>
            </w:pPr>
            <w:r>
              <w:rPr>
                <w:rFonts w:ascii="Calibri" w:hAnsi="Calibri" w:cs="Calibri"/>
                <w:sz w:val="20"/>
                <w:szCs w:val="20"/>
              </w:rPr>
              <w:t>Biella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12299E38" w:rsidR="00A91034" w:rsidRPr="0032700D" w:rsidRDefault="00A91034" w:rsidP="00A91034">
            <w:pPr>
              <w:spacing w:after="0" w:line="240" w:lineRule="auto"/>
              <w:jc w:val="center"/>
              <w:rPr>
                <w:rFonts w:cstheme="minorHAnsi"/>
                <w:sz w:val="20"/>
                <w:szCs w:val="20"/>
              </w:rPr>
            </w:pPr>
            <w:r>
              <w:rPr>
                <w:rFonts w:ascii="Calibri" w:hAnsi="Calibri" w:cs="Calibri"/>
                <w:sz w:val="20"/>
                <w:szCs w:val="20"/>
              </w:rPr>
              <w:t>1.800.000,00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73787D1A" w:rsidR="00A91034" w:rsidRPr="0032700D" w:rsidRDefault="00A91034" w:rsidP="00A91034">
            <w:pPr>
              <w:spacing w:after="0" w:line="240" w:lineRule="auto"/>
              <w:jc w:val="center"/>
              <w:rPr>
                <w:rFonts w:cstheme="minorHAnsi"/>
                <w:sz w:val="20"/>
                <w:szCs w:val="20"/>
              </w:rPr>
            </w:pPr>
            <w:r>
              <w:rPr>
                <w:rFonts w:ascii="Calibri" w:hAnsi="Calibri" w:cs="Calibri"/>
                <w:sz w:val="20"/>
                <w:szCs w:val="20"/>
              </w:rPr>
              <w:t>22/01/2026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5235B31E" w:rsidR="00A91034" w:rsidRPr="0032700D" w:rsidRDefault="00A91034" w:rsidP="00A91034">
            <w:pPr>
              <w:spacing w:after="0" w:line="240" w:lineRule="auto"/>
              <w:rPr>
                <w:rFonts w:cstheme="minorHAnsi"/>
                <w:sz w:val="20"/>
                <w:szCs w:val="20"/>
              </w:rPr>
            </w:pPr>
            <w:r>
              <w:rPr>
                <w:rFonts w:ascii="Calibri" w:hAnsi="Calibri" w:cs="Calibri"/>
                <w:sz w:val="20"/>
                <w:szCs w:val="20"/>
              </w:rPr>
              <w:t>Ente di Area Vasta - Provincia di Biella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449F8742" w:rsidR="00A91034" w:rsidRPr="0032700D" w:rsidRDefault="00A91034" w:rsidP="00A91034">
            <w:pPr>
              <w:spacing w:after="0" w:line="240" w:lineRule="auto"/>
              <w:jc w:val="both"/>
              <w:rPr>
                <w:rFonts w:cstheme="minorHAnsi"/>
                <w:sz w:val="20"/>
                <w:szCs w:val="20"/>
              </w:rPr>
            </w:pPr>
            <w:r>
              <w:rPr>
                <w:rFonts w:ascii="Calibri" w:hAnsi="Calibri" w:cs="Calibri"/>
                <w:sz w:val="20"/>
                <w:szCs w:val="20"/>
              </w:rPr>
              <w:t>AQ ispezione ponti 2025</w:t>
            </w:r>
          </w:p>
        </w:tc>
      </w:tr>
      <w:tr w:rsidR="00A91034" w:rsidRPr="00CE3A09" w14:paraId="79E4D973"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356E3452"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4863D42E"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1.457.775,36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160865A8"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7122BBB5"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Bolzano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2473B4D5"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1_DG686-25 - Progettazione e coordinamento della sicurezza in fase di progettazione - Sede municipale di vicolo Gumer a Bolzano - Opere di adeguamento degli impianti antincendio, di raffrescamento e riscaldamento e restauro dei serramenti storici</w:t>
            </w:r>
          </w:p>
        </w:tc>
      </w:tr>
      <w:tr w:rsidR="00A91034" w:rsidRPr="00CE3A09" w14:paraId="014D72E1"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5538E38E"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Pescara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50989D84"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1.175.156,40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646039A7"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00D44C98"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ACA SpA - Azienda Comprensoriale Acquedottistica di Pescara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44B9E4A2"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Gara in 2 lotti - Servizio biennale di analisi di laboratorio chimiche e microbiologiche su campioni di acqua destinati al consumo umano - Lotto 2 Servizio analisi chimiche e microbiologiche su campioni di acqua destinata a consumo umano ed acqua Reflua</w:t>
            </w:r>
          </w:p>
        </w:tc>
      </w:tr>
      <w:tr w:rsidR="00A91034" w:rsidRPr="00CE3A09" w14:paraId="25BB482E"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4B1ECB4A"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Caserta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2D47B537"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990.368,85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1AFD0FAC"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660D5235"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Autorità di Bacino Distrettuale dell'Appennino Meridionale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2DDBF314"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Indagini e servizi di architettura e ingegneria relativi alla Progettazione e realizzazione delle opere di derivazione per l'utilizzazione delle acque invasate della diga di Arcichiaro sul torrente Quirino</w:t>
            </w:r>
          </w:p>
        </w:tc>
      </w:tr>
      <w:tr w:rsidR="00A91034" w:rsidRPr="00CE3A09" w14:paraId="671F0290"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79F0CB30" w:rsidR="00A91034" w:rsidRPr="0032700D" w:rsidRDefault="00A91034" w:rsidP="00A91034">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 - Viterbo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6617BEB5"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950.271,30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5CAB37CF"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23/01/2026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63100B07"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ASTRAL Spa - Azienda Strade Lazio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7A1E1F9E"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Procedura aperta per l'affidamento del servizio di rilievo dello stato della linea di contatto delle linee ferroviarie Roma-Lido di Ostia e Roma-Civita Castellana-Viterbo.</w:t>
            </w:r>
          </w:p>
        </w:tc>
      </w:tr>
      <w:tr w:rsidR="00A91034" w:rsidRPr="00CE3A09" w14:paraId="4AD43CAC"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2794625E"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2F95D480"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830.799,39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5A626D51"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208A3D12"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Curon Venosta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5B2AD248"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09 2025 - Progettazione e direzione lavori presso il campanile di Curon Venosta</w:t>
            </w:r>
          </w:p>
        </w:tc>
      </w:tr>
      <w:tr w:rsidR="00A91034" w:rsidRPr="00CE3A09" w14:paraId="404702A2"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57F13B49"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Trento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27073532"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780.199,26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763F6492"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621AFBCA"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Provincia Autonoma di Trento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1ADA0FB9"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AT3131/2025 - Affidamento dei servizi di direzione dei lavori e di coordinamento della sicurezza in fase di esecuzione relativamente ai lavori per la realizzazione della nuova sede del Liceo Artistico A. Vittoria - Trento</w:t>
            </w:r>
          </w:p>
        </w:tc>
      </w:tr>
      <w:tr w:rsidR="00A91034" w:rsidRPr="00CE3A09" w14:paraId="23205E37" w14:textId="77777777" w:rsidTr="00A91034">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A91034" w:rsidRPr="009F490F" w:rsidRDefault="00A91034" w:rsidP="00A91034">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3D4C410E"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Pescara</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139446B4"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683.700,00</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6EC53679" w:rsidR="00A91034" w:rsidRPr="0032700D" w:rsidRDefault="00A91034" w:rsidP="00A91034">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29/12/2025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421963A2" w:rsidR="00A91034" w:rsidRPr="0032700D" w:rsidRDefault="00A91034" w:rsidP="00A91034">
            <w:pPr>
              <w:spacing w:after="0" w:line="240" w:lineRule="auto"/>
              <w:rPr>
                <w:rFonts w:eastAsia="Times New Roman" w:cstheme="minorHAnsi"/>
                <w:noProof w:val="0"/>
                <w:kern w:val="0"/>
                <w:sz w:val="20"/>
                <w:szCs w:val="20"/>
                <w14:ligatures w14:val="none"/>
              </w:rPr>
            </w:pPr>
            <w:r>
              <w:rPr>
                <w:rFonts w:ascii="Calibri" w:hAnsi="Calibri" w:cs="Calibri"/>
                <w:sz w:val="20"/>
                <w:szCs w:val="20"/>
              </w:rPr>
              <w:t>ACA SpA - Azienda Comprensoriale Acquedottistica di Pescara</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36AF57A9" w:rsidR="00A91034" w:rsidRPr="0032700D" w:rsidRDefault="00A91034" w:rsidP="00A91034">
            <w:pPr>
              <w:spacing w:after="0" w:line="240" w:lineRule="auto"/>
              <w:jc w:val="both"/>
              <w:rPr>
                <w:rFonts w:eastAsia="Times New Roman" w:cstheme="minorHAnsi"/>
                <w:noProof w:val="0"/>
                <w:kern w:val="0"/>
                <w:sz w:val="20"/>
                <w:szCs w:val="20"/>
                <w14:ligatures w14:val="none"/>
              </w:rPr>
            </w:pPr>
            <w:r>
              <w:rPr>
                <w:rFonts w:ascii="Calibri" w:hAnsi="Calibri" w:cs="Calibri"/>
                <w:sz w:val="20"/>
                <w:szCs w:val="20"/>
              </w:rPr>
              <w:t>Gara in 2 lotti - Servizio biennale di analisi di laboratorio chimiche e microbiologiche su campioni di acqua destinati al consumo umano - Lotto 1 Servizio analisi chimiche e microbiologiche su rifiuti di varia tipologia.</w:t>
            </w:r>
          </w:p>
        </w:tc>
      </w:tr>
      <w:tr w:rsidR="00CE3A09" w:rsidRPr="00CE3A09" w14:paraId="5D49B6BD" w14:textId="77777777" w:rsidTr="00A91034">
        <w:trPr>
          <w:trHeight w:val="20"/>
        </w:trPr>
        <w:tc>
          <w:tcPr>
            <w:tcW w:w="5000" w:type="pct"/>
            <w:gridSpan w:val="6"/>
            <w:tcBorders>
              <w:left w:val="nil"/>
              <w:right w:val="nil"/>
            </w:tcBorders>
            <w:shd w:val="clear" w:color="auto" w:fill="E7E6E6" w:themeFill="background2"/>
            <w:vAlign w:val="center"/>
          </w:tcPr>
          <w:p w14:paraId="07E7A8F7" w14:textId="6A582D29" w:rsidR="00453A41" w:rsidRPr="001472C8" w:rsidRDefault="001472C8" w:rsidP="00A91034">
            <w:pPr>
              <w:spacing w:after="0" w:line="240" w:lineRule="auto"/>
              <w:jc w:val="both"/>
              <w:rPr>
                <w:rFonts w:eastAsia="Times New Roman" w:cstheme="minorHAnsi"/>
                <w:b/>
                <w:bCs/>
                <w:noProof w:val="0"/>
                <w:kern w:val="0"/>
                <w:sz w:val="20"/>
                <w:szCs w:val="20"/>
                <w:lang w:val="en-US"/>
                <w14:ligatures w14:val="none"/>
              </w:rPr>
            </w:pPr>
            <w:r w:rsidRPr="001472C8">
              <w:rPr>
                <w:rFonts w:eastAsia="Times New Roman" w:cstheme="minorHAnsi"/>
                <w:b/>
                <w:bCs/>
                <w:noProof w:val="0"/>
                <w:kern w:val="0"/>
                <w:sz w:val="20"/>
                <w:szCs w:val="20"/>
                <w:lang w:val="en-US"/>
                <w14:ligatures w14:val="none"/>
              </w:rPr>
              <w:lastRenderedPageBreak/>
              <w:t>ALTRI BANDI</w:t>
            </w:r>
          </w:p>
        </w:tc>
      </w:tr>
      <w:tr w:rsidR="00A91034" w:rsidRPr="00CE3A09" w14:paraId="4CBDF39C"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6DC829B1"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220A4443"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Siracusa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7EE98A50"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674.053,18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606C264E"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10/02/2026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3006794B" w:rsidR="00A91034" w:rsidRPr="00906DBE" w:rsidRDefault="00A91034" w:rsidP="00A91034">
            <w:pPr>
              <w:spacing w:after="0" w:line="240" w:lineRule="auto"/>
              <w:rPr>
                <w:rFonts w:cstheme="minorHAnsi"/>
                <w:sz w:val="20"/>
                <w:szCs w:val="20"/>
              </w:rPr>
            </w:pPr>
            <w:r>
              <w:rPr>
                <w:rFonts w:ascii="Calibri" w:hAnsi="Calibri" w:cs="Calibri"/>
                <w:sz w:val="20"/>
                <w:szCs w:val="20"/>
              </w:rPr>
              <w:t>Autorità di Sistema Portuale del Mare di Sicilia Orientale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03680EDD" w:rsidR="00A91034" w:rsidRPr="00906DBE" w:rsidRDefault="00A91034" w:rsidP="00A91034">
            <w:pPr>
              <w:spacing w:after="0" w:line="240" w:lineRule="auto"/>
              <w:jc w:val="both"/>
              <w:rPr>
                <w:rFonts w:cstheme="minorHAnsi"/>
                <w:sz w:val="20"/>
                <w:szCs w:val="20"/>
              </w:rPr>
            </w:pPr>
            <w:r>
              <w:rPr>
                <w:rFonts w:ascii="Calibri" w:hAnsi="Calibri" w:cs="Calibri"/>
                <w:sz w:val="20"/>
                <w:szCs w:val="20"/>
              </w:rPr>
              <w:t>Gara G00321 Concorso di progettazione in due fasi Relativo alla manutenzione straordinaria con riqualificazione del fabbricato destinato a Stazione Marittima di Siracusa e degli annessi spazi di servizio del Molo Sant'Antonio</w:t>
            </w:r>
          </w:p>
        </w:tc>
      </w:tr>
      <w:tr w:rsidR="00A91034" w:rsidRPr="00CE3A09" w14:paraId="6C362740"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60D39ED3"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4A0ED4E1"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Trieste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3609961A"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671.788,25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28D03F89"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12/01/2026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36F74C0F" w:rsidR="00A91034" w:rsidRPr="00906DBE" w:rsidRDefault="00A91034" w:rsidP="00A91034">
            <w:pPr>
              <w:spacing w:after="0" w:line="240" w:lineRule="auto"/>
              <w:rPr>
                <w:rFonts w:cstheme="minorHAnsi"/>
                <w:sz w:val="20"/>
                <w:szCs w:val="20"/>
              </w:rPr>
            </w:pPr>
            <w:r>
              <w:rPr>
                <w:rFonts w:ascii="Calibri" w:hAnsi="Calibri" w:cs="Calibri"/>
                <w:sz w:val="20"/>
                <w:szCs w:val="20"/>
              </w:rPr>
              <w:t>Regione Autonoma Friuli Venezia Giulia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314AF8E9" w:rsidR="00A91034" w:rsidRPr="00906DBE" w:rsidRDefault="00A91034" w:rsidP="00A91034">
            <w:pPr>
              <w:spacing w:after="0" w:line="240" w:lineRule="auto"/>
              <w:jc w:val="both"/>
              <w:rPr>
                <w:rFonts w:cstheme="minorHAnsi"/>
                <w:sz w:val="20"/>
                <w:szCs w:val="20"/>
              </w:rPr>
            </w:pPr>
            <w:r>
              <w:rPr>
                <w:rFonts w:ascii="Calibri" w:hAnsi="Calibri" w:cs="Calibri"/>
                <w:sz w:val="20"/>
                <w:szCs w:val="20"/>
              </w:rPr>
              <w:t>Gara europea a procedura aperta per l'appalto dell'affidamento dei servizi di architettura e ingegneria di redazione del Pfte, progettazione esecutiva, relazione geologica, coordinamento sicurezza in fase progettuale ed esecutiva, direzione lavori e contabilità inerenti l'intervento di sistemazione idraulica del torrente Farneto, mediante utilizzo di metodi e strumenti di gestione informativa digitale delle costruzioni (metodologia BIM), da progettare in due lotti funzionali la cui realizzazione dovrà essere contemporanea ma con accessi indipendenti. CUP Lotto I D98H24001860008 - Lotto II D98H24001860008</w:t>
            </w:r>
          </w:p>
        </w:tc>
      </w:tr>
      <w:tr w:rsidR="00A91034" w:rsidRPr="00CE3A09" w14:paraId="091630E5"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3B34534B"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243BDC1C"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2777F35E"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453.905,78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3FC024C8"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07/01/2026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494FD902" w:rsidR="00A91034" w:rsidRPr="00906DBE" w:rsidRDefault="00A91034" w:rsidP="00A91034">
            <w:pPr>
              <w:spacing w:after="0" w:line="240" w:lineRule="auto"/>
              <w:rPr>
                <w:rFonts w:cstheme="minorHAnsi"/>
                <w:sz w:val="20"/>
                <w:szCs w:val="20"/>
              </w:rPr>
            </w:pPr>
            <w:r>
              <w:rPr>
                <w:rFonts w:ascii="Calibri" w:hAnsi="Calibri" w:cs="Calibri"/>
                <w:sz w:val="20"/>
                <w:szCs w:val="20"/>
              </w:rPr>
              <w:t>Comune di Ercolano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1744FF17" w:rsidR="00A91034" w:rsidRPr="00906DBE" w:rsidRDefault="00A91034" w:rsidP="00A91034">
            <w:pPr>
              <w:spacing w:after="0" w:line="240" w:lineRule="auto"/>
              <w:jc w:val="both"/>
              <w:rPr>
                <w:rFonts w:cstheme="minorHAnsi"/>
                <w:sz w:val="20"/>
                <w:szCs w:val="20"/>
              </w:rPr>
            </w:pPr>
            <w:r>
              <w:rPr>
                <w:rFonts w:ascii="Calibri" w:hAnsi="Calibri" w:cs="Calibri"/>
                <w:sz w:val="20"/>
                <w:szCs w:val="20"/>
              </w:rPr>
              <w:t>Affidamento degli interventi di caratterizzazione, analisi di rischio ove necessaria, di rimozione rifiuti, messa in sicurezza permanente e bonifica dei suoli della cava denominata Cupa Viola in Ercolano (NA) alla Cupa Viola. Fondi a Valere su: PNRR_ M2C4 – Investimento 3.4 - Bonifica del "suolo dei siti orfani"</w:t>
            </w:r>
          </w:p>
        </w:tc>
      </w:tr>
      <w:tr w:rsidR="00A91034" w:rsidRPr="00CE3A09" w14:paraId="2AF479B9"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124E6FE1"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4CFAD545"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Avellino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4DD48F95"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438.333,69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6E9526F6"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14/01/2026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6B04916B" w:rsidR="00A91034" w:rsidRPr="00906DBE" w:rsidRDefault="00A91034" w:rsidP="00A91034">
            <w:pPr>
              <w:spacing w:after="0" w:line="240" w:lineRule="auto"/>
              <w:rPr>
                <w:rFonts w:cstheme="minorHAnsi"/>
                <w:sz w:val="20"/>
                <w:szCs w:val="20"/>
              </w:rPr>
            </w:pPr>
            <w:r>
              <w:rPr>
                <w:rFonts w:ascii="Calibri" w:hAnsi="Calibri" w:cs="Calibri"/>
                <w:sz w:val="20"/>
                <w:szCs w:val="20"/>
              </w:rPr>
              <w:t>Provincia di Avellino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294B9EFF" w:rsidR="00A91034" w:rsidRPr="00906DBE" w:rsidRDefault="00A91034" w:rsidP="00A91034">
            <w:pPr>
              <w:spacing w:after="0" w:line="240" w:lineRule="auto"/>
              <w:jc w:val="both"/>
              <w:rPr>
                <w:rFonts w:cstheme="minorHAnsi"/>
                <w:sz w:val="20"/>
                <w:szCs w:val="20"/>
              </w:rPr>
            </w:pPr>
            <w:r>
              <w:rPr>
                <w:rFonts w:ascii="Calibri" w:hAnsi="Calibri" w:cs="Calibri"/>
                <w:sz w:val="20"/>
                <w:szCs w:val="20"/>
              </w:rPr>
              <w:t>Servizio di censimento, redazione schede e classificazione dei ponti esistenti della rete viaria della provincia di Avellino</w:t>
            </w:r>
          </w:p>
        </w:tc>
      </w:tr>
      <w:tr w:rsidR="00A91034" w:rsidRPr="00CE3A09" w14:paraId="211E6508"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7A89910D"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551F707B"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Matera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322B0257"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361.182,61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37058D69"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24/12/2025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6B0ECBC2" w:rsidR="00A91034" w:rsidRPr="00906DBE" w:rsidRDefault="00A91034" w:rsidP="00A91034">
            <w:pPr>
              <w:spacing w:after="0" w:line="240" w:lineRule="auto"/>
              <w:rPr>
                <w:rFonts w:cstheme="minorHAnsi"/>
                <w:sz w:val="20"/>
                <w:szCs w:val="20"/>
              </w:rPr>
            </w:pPr>
            <w:r>
              <w:rPr>
                <w:rFonts w:ascii="Calibri" w:hAnsi="Calibri" w:cs="Calibri"/>
                <w:sz w:val="20"/>
                <w:szCs w:val="20"/>
              </w:rPr>
              <w:t>Comune di Cirigliano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31ABD0C8" w:rsidR="00A91034" w:rsidRPr="00906DBE" w:rsidRDefault="00A91034" w:rsidP="00A91034">
            <w:pPr>
              <w:spacing w:after="0" w:line="240" w:lineRule="auto"/>
              <w:jc w:val="both"/>
              <w:rPr>
                <w:rFonts w:cstheme="minorHAnsi"/>
                <w:sz w:val="20"/>
                <w:szCs w:val="20"/>
              </w:rPr>
            </w:pPr>
            <w:r>
              <w:rPr>
                <w:rFonts w:ascii="Calibri" w:hAnsi="Calibri" w:cs="Calibri"/>
                <w:sz w:val="20"/>
                <w:szCs w:val="20"/>
              </w:rPr>
              <w:t>Servizi tecnici di redazione del progetto di fattibilità tecnica ed economica, del progetto esecutivo e coordinamento della sicurezza in fase di progettazione dei lavori di mitigazione del rischio idrogeologico dell'area nord-ovest del centro abitato del comune di Cirigliano.</w:t>
            </w:r>
          </w:p>
        </w:tc>
      </w:tr>
      <w:tr w:rsidR="00A91034" w:rsidRPr="00CE3A09" w14:paraId="4AB4D7F8"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1A3B940F"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27755383"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5B118DAC"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361.035,68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4B74EB75"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16/01/2026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3070FF4A" w:rsidR="00A91034" w:rsidRPr="00906DBE" w:rsidRDefault="00A91034" w:rsidP="00A91034">
            <w:pPr>
              <w:spacing w:after="0" w:line="240" w:lineRule="auto"/>
              <w:rPr>
                <w:rFonts w:cstheme="minorHAnsi"/>
                <w:sz w:val="20"/>
                <w:szCs w:val="20"/>
              </w:rPr>
            </w:pPr>
            <w:r>
              <w:rPr>
                <w:rFonts w:ascii="Calibri" w:hAnsi="Calibri" w:cs="Calibri"/>
                <w:sz w:val="20"/>
                <w:szCs w:val="20"/>
              </w:rPr>
              <w:t>RFI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712B0C25" w:rsidR="00A91034" w:rsidRPr="00906DBE" w:rsidRDefault="00A91034" w:rsidP="00A91034">
            <w:pPr>
              <w:spacing w:after="0" w:line="240" w:lineRule="auto"/>
              <w:jc w:val="both"/>
              <w:rPr>
                <w:rFonts w:cstheme="minorHAnsi"/>
                <w:sz w:val="20"/>
                <w:szCs w:val="20"/>
              </w:rPr>
            </w:pPr>
            <w:r>
              <w:rPr>
                <w:rFonts w:ascii="Calibri" w:hAnsi="Calibri" w:cs="Calibri"/>
                <w:sz w:val="20"/>
                <w:szCs w:val="20"/>
              </w:rPr>
              <w:t>Ricorso a sistemi di qualificazione RFI - DAC.0960.2025  - Affidamento del Servizio di Collaudo Tecnico Amministrativo dei lavori di realizzazione dell' "Upgrade Tecnologico linea AV/AC Roma-Napoli "Upgrade Tecnologico linea AV/AC Roma-Napoli - ACCM, Fabbricati Tecnologici e CdB audiofrequenza da PM Salone (i) (coincidente con la pk 12+395 della linea AV/AC Roma-Napoli) a PM Afragola (i) (coincidente con la pk 210+092 della linea AV/AC Roma-Napoli) e PP/ACC PJ2 Sgurgola (coincidente con la pk 67+2 linea storica Roma-Cassino-Napoli) e Rocca D'Evandro (coincidente con la pk 147+592 della linea storica Roma-Cassino-Napoli.</w:t>
            </w:r>
          </w:p>
        </w:tc>
      </w:tr>
      <w:tr w:rsidR="00A91034" w:rsidRPr="00CE3A09" w14:paraId="6998EC02" w14:textId="77777777" w:rsidTr="00A91034">
        <w:trPr>
          <w:trHeight w:val="141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2C586872" w:rsidR="00A91034" w:rsidRPr="00024B28"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3ACB234B"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1E15B7C2"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312.349,91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42375A34"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19/01/2026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608C56BA" w:rsidR="00A91034" w:rsidRPr="00906DBE" w:rsidRDefault="00A91034" w:rsidP="00A91034">
            <w:pPr>
              <w:spacing w:after="0" w:line="240" w:lineRule="auto"/>
              <w:rPr>
                <w:rFonts w:cstheme="minorHAnsi"/>
                <w:sz w:val="20"/>
                <w:szCs w:val="20"/>
              </w:rPr>
            </w:pPr>
            <w:r>
              <w:rPr>
                <w:rFonts w:ascii="Calibri" w:hAnsi="Calibri" w:cs="Calibri"/>
                <w:sz w:val="20"/>
                <w:szCs w:val="20"/>
              </w:rPr>
              <w:t>Comune di Naturno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02E8159C" w:rsidR="00A91034" w:rsidRPr="00906DBE" w:rsidRDefault="00A91034" w:rsidP="00A91034">
            <w:pPr>
              <w:spacing w:after="0" w:line="240" w:lineRule="auto"/>
              <w:jc w:val="both"/>
              <w:rPr>
                <w:rFonts w:cstheme="minorHAnsi"/>
                <w:sz w:val="20"/>
                <w:szCs w:val="20"/>
              </w:rPr>
            </w:pPr>
            <w:r>
              <w:rPr>
                <w:rFonts w:ascii="Calibri" w:hAnsi="Calibri" w:cs="Calibri"/>
                <w:sz w:val="20"/>
                <w:szCs w:val="20"/>
              </w:rPr>
              <w:t>Progetto di fattibilità tecnica ed economica, progetto esecutivo, progettazione generale (riguarda la coordinazione tra le varie prestazioni specialistiche), coordinamento della sicurezza in fase progettuale - Nuova costruzione sala prove banda musicale di Naturno e ampliamento della scuola di musica di Naturno sulla P.ED. 1275 del CC. Naturno</w:t>
            </w:r>
          </w:p>
        </w:tc>
      </w:tr>
      <w:tr w:rsidR="00A91034" w:rsidRPr="00CE3A09" w14:paraId="79D89839" w14:textId="77777777" w:rsidTr="00A91034">
        <w:trPr>
          <w:trHeight w:val="141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4A7CA08" w:rsidR="00A91034" w:rsidRPr="00024B28"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1C91B4B3"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1CCE0542"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311.936,85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26AC715F" w:rsidR="00A91034" w:rsidRPr="00906DBE" w:rsidRDefault="00A91034" w:rsidP="00A91034">
            <w:pPr>
              <w:spacing w:after="0" w:line="240" w:lineRule="auto"/>
              <w:jc w:val="center"/>
              <w:rPr>
                <w:rFonts w:cstheme="minorHAnsi"/>
                <w:sz w:val="20"/>
                <w:szCs w:val="20"/>
              </w:rPr>
            </w:pPr>
            <w:r>
              <w:rPr>
                <w:rFonts w:ascii="Calibri" w:hAnsi="Calibri" w:cs="Calibri"/>
                <w:sz w:val="20"/>
                <w:szCs w:val="20"/>
              </w:rPr>
              <w:t>20/01/2026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40860C6C" w:rsidR="00A91034" w:rsidRPr="00906DBE" w:rsidRDefault="00A91034" w:rsidP="00A91034">
            <w:pPr>
              <w:spacing w:after="0" w:line="240" w:lineRule="auto"/>
              <w:rPr>
                <w:rFonts w:cstheme="minorHAnsi"/>
                <w:sz w:val="20"/>
                <w:szCs w:val="20"/>
              </w:rPr>
            </w:pPr>
            <w:r>
              <w:rPr>
                <w:rFonts w:ascii="Calibri" w:hAnsi="Calibri" w:cs="Calibri"/>
                <w:sz w:val="20"/>
                <w:szCs w:val="20"/>
              </w:rPr>
              <w:t>Provincia Autonoma di Bolzano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71976CF0" w:rsidR="00A91034" w:rsidRPr="00906DBE" w:rsidRDefault="00A91034" w:rsidP="00A91034">
            <w:pPr>
              <w:spacing w:after="0" w:line="240" w:lineRule="auto"/>
              <w:jc w:val="both"/>
              <w:rPr>
                <w:rFonts w:cstheme="minorHAnsi"/>
                <w:sz w:val="20"/>
                <w:szCs w:val="20"/>
              </w:rPr>
            </w:pPr>
            <w:r>
              <w:rPr>
                <w:rFonts w:ascii="Calibri" w:hAnsi="Calibri" w:cs="Calibri"/>
                <w:sz w:val="20"/>
                <w:szCs w:val="20"/>
              </w:rPr>
              <w:t>Supporto tecnico al RUP nella fase di esecuzione dei lavori del progetto PPP Gamper</w:t>
            </w:r>
          </w:p>
        </w:tc>
      </w:tr>
      <w:tr w:rsidR="00A91034" w:rsidRPr="00CE3A09" w14:paraId="79832378" w14:textId="77777777" w:rsidTr="00A91034">
        <w:trPr>
          <w:trHeight w:val="141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1EE17A" w14:textId="4BDE3846" w:rsidR="00A91034" w:rsidRPr="00024B28"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CE72E" w14:textId="593B2DFE"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Lecce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8BE0" w14:textId="4E605E63"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307.280,00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C0B1C" w14:textId="6211D221"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19/12/2025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2F907" w14:textId="60B737D8" w:rsidR="00A91034" w:rsidRPr="00906DBE" w:rsidRDefault="00A91034" w:rsidP="00A91034">
            <w:pPr>
              <w:spacing w:after="0" w:line="240" w:lineRule="auto"/>
              <w:rPr>
                <w:rFonts w:ascii="Calibri" w:hAnsi="Calibri" w:cs="Calibri"/>
                <w:sz w:val="20"/>
                <w:szCs w:val="20"/>
              </w:rPr>
            </w:pPr>
            <w:r>
              <w:rPr>
                <w:rFonts w:ascii="Calibri" w:hAnsi="Calibri" w:cs="Calibri"/>
                <w:sz w:val="20"/>
                <w:szCs w:val="20"/>
              </w:rPr>
              <w:t>Comune di Copertino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C862CD" w14:textId="6FE63CF9" w:rsidR="00A91034" w:rsidRPr="00906DBE" w:rsidRDefault="00A91034" w:rsidP="00A91034">
            <w:pPr>
              <w:spacing w:after="0" w:line="240" w:lineRule="auto"/>
              <w:jc w:val="both"/>
              <w:rPr>
                <w:rFonts w:ascii="Calibri" w:hAnsi="Calibri" w:cs="Calibri"/>
                <w:sz w:val="20"/>
                <w:szCs w:val="20"/>
              </w:rPr>
            </w:pPr>
            <w:r>
              <w:rPr>
                <w:rFonts w:ascii="Calibri" w:hAnsi="Calibri" w:cs="Calibri"/>
                <w:sz w:val="20"/>
                <w:szCs w:val="20"/>
              </w:rPr>
              <w:t>Servizi di digitalizzazione degli archivi di edilizia privata dei Comuni di Copertino e Leverano</w:t>
            </w:r>
          </w:p>
        </w:tc>
      </w:tr>
      <w:tr w:rsidR="00A91034" w:rsidRPr="00CE3A09" w14:paraId="196C34EF"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499FF" w14:textId="54E2DDFE"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9896" w14:textId="6EBDFEAF"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Ancona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EA13C" w14:textId="09E084E0"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297.708,37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C6678" w14:textId="05563E40"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14/01/2026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3E42F" w14:textId="57472830" w:rsidR="00A91034" w:rsidRPr="00906DBE" w:rsidRDefault="00A91034" w:rsidP="00A91034">
            <w:pPr>
              <w:spacing w:after="0" w:line="240" w:lineRule="auto"/>
              <w:rPr>
                <w:rFonts w:ascii="Calibri" w:hAnsi="Calibri" w:cs="Calibri"/>
                <w:sz w:val="20"/>
                <w:szCs w:val="20"/>
              </w:rPr>
            </w:pPr>
            <w:r>
              <w:rPr>
                <w:rFonts w:ascii="Calibri" w:hAnsi="Calibri" w:cs="Calibri"/>
                <w:sz w:val="20"/>
                <w:szCs w:val="20"/>
              </w:rPr>
              <w:t>Viva Servizi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A5A9B4" w14:textId="5EF3EA2A" w:rsidR="00A91034" w:rsidRPr="00906DBE" w:rsidRDefault="00A91034" w:rsidP="00A91034">
            <w:pPr>
              <w:spacing w:after="0" w:line="240" w:lineRule="auto"/>
              <w:jc w:val="both"/>
              <w:rPr>
                <w:rFonts w:ascii="Calibri" w:hAnsi="Calibri" w:cs="Calibri"/>
                <w:sz w:val="20"/>
                <w:szCs w:val="20"/>
              </w:rPr>
            </w:pPr>
            <w:r>
              <w:rPr>
                <w:rFonts w:ascii="Calibri" w:hAnsi="Calibri" w:cs="Calibri"/>
                <w:sz w:val="20"/>
                <w:szCs w:val="20"/>
              </w:rPr>
              <w:t>Incarico di verifica della progettazione per gli interventi di risoluzione degli scarichi a mare nel Comune di Falconara Marittima (AN). Gara divisa in 2 lotti - lotto 2 Realizzazione del collettore di gronda e relativa vasca di prima pioggia</w:t>
            </w:r>
          </w:p>
        </w:tc>
      </w:tr>
      <w:tr w:rsidR="00A91034" w:rsidRPr="00CE3A09" w14:paraId="1083F181"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D6871F4" w14:textId="13329E96"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877C8" w14:textId="4E6B3675"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Trieste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7FAD6" w14:textId="0215013F"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274.054,45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ED302" w14:textId="7ADD8016"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19/01/2026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1E9D0" w14:textId="60788492" w:rsidR="00A91034" w:rsidRPr="00906DBE" w:rsidRDefault="00A91034" w:rsidP="00A91034">
            <w:pPr>
              <w:spacing w:after="0" w:line="240" w:lineRule="auto"/>
              <w:rPr>
                <w:rFonts w:ascii="Calibri" w:hAnsi="Calibri" w:cs="Calibri"/>
                <w:sz w:val="20"/>
                <w:szCs w:val="20"/>
              </w:rPr>
            </w:pPr>
            <w:r>
              <w:rPr>
                <w:rFonts w:ascii="Calibri" w:hAnsi="Calibri" w:cs="Calibri"/>
                <w:sz w:val="20"/>
                <w:szCs w:val="20"/>
              </w:rPr>
              <w:t>RFI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93B497" w14:textId="6D88EE2C" w:rsidR="00A91034" w:rsidRPr="00906DBE" w:rsidRDefault="00A91034" w:rsidP="00A91034">
            <w:pPr>
              <w:spacing w:after="0" w:line="240" w:lineRule="auto"/>
              <w:jc w:val="both"/>
              <w:rPr>
                <w:rFonts w:ascii="Calibri" w:hAnsi="Calibri" w:cs="Calibri"/>
                <w:sz w:val="20"/>
                <w:szCs w:val="20"/>
              </w:rPr>
            </w:pPr>
            <w:r>
              <w:rPr>
                <w:rFonts w:ascii="Calibri" w:hAnsi="Calibri" w:cs="Calibri"/>
                <w:sz w:val="20"/>
                <w:szCs w:val="20"/>
              </w:rPr>
              <w:t>Ricorso a sistemi di qualificazione RFI - DAC.0637.2025 avente per oggetto l'affidamento dei servizi per la "Commissione di Collaudo Tecnico-Amministrativo dei lavori di realizzazione del nuovo PRG e del nuovo ACC di Trieste Campo Marzio, compresi due nuovi fabbricati tecnologici e gli impianti di trazione elettrica e luce e forza motrice e telecomunicazioni nonché di interventi secondari connessi di cui alla convenzione N. 129/2020".</w:t>
            </w:r>
          </w:p>
        </w:tc>
      </w:tr>
      <w:tr w:rsidR="00A91034" w:rsidRPr="00CE3A09" w14:paraId="50026C04" w14:textId="77777777" w:rsidTr="00A9103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D4A407" w14:textId="0608005E" w:rsidR="00A91034" w:rsidRPr="009F490F"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62ED" w14:textId="10998F45"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Bari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11BC1" w14:textId="6E1A05C8"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220.450,00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2860B" w14:textId="775CC0F0" w:rsidR="00A91034" w:rsidRPr="00906DBE" w:rsidRDefault="00A91034" w:rsidP="00A91034">
            <w:pPr>
              <w:spacing w:after="0" w:line="240" w:lineRule="auto"/>
              <w:jc w:val="center"/>
              <w:rPr>
                <w:rFonts w:ascii="Calibri" w:hAnsi="Calibri" w:cs="Calibri"/>
                <w:sz w:val="20"/>
                <w:szCs w:val="20"/>
              </w:rPr>
            </w:pPr>
            <w:r>
              <w:rPr>
                <w:rFonts w:ascii="Calibri" w:hAnsi="Calibri" w:cs="Calibri"/>
                <w:sz w:val="20"/>
                <w:szCs w:val="20"/>
              </w:rPr>
              <w:t>23/12/2025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D200D" w14:textId="3C62BDFC" w:rsidR="00A91034" w:rsidRPr="00906DBE" w:rsidRDefault="00A91034" w:rsidP="00A91034">
            <w:pPr>
              <w:spacing w:after="0" w:line="240" w:lineRule="auto"/>
              <w:rPr>
                <w:rFonts w:ascii="Calibri" w:hAnsi="Calibri" w:cs="Calibri"/>
                <w:sz w:val="20"/>
                <w:szCs w:val="20"/>
              </w:rPr>
            </w:pPr>
            <w:r>
              <w:rPr>
                <w:rFonts w:ascii="Calibri" w:hAnsi="Calibri" w:cs="Calibri"/>
                <w:sz w:val="20"/>
                <w:szCs w:val="20"/>
              </w:rPr>
              <w:t>Comune di Bari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435436" w14:textId="331F3DB2" w:rsidR="00A91034" w:rsidRPr="00906DBE" w:rsidRDefault="00A91034" w:rsidP="00A91034">
            <w:pPr>
              <w:spacing w:after="0" w:line="240" w:lineRule="auto"/>
              <w:jc w:val="both"/>
              <w:rPr>
                <w:rFonts w:ascii="Calibri" w:hAnsi="Calibri" w:cs="Calibri"/>
                <w:sz w:val="20"/>
                <w:szCs w:val="20"/>
              </w:rPr>
            </w:pPr>
            <w:r>
              <w:rPr>
                <w:rFonts w:ascii="Calibri" w:hAnsi="Calibri" w:cs="Calibri"/>
                <w:sz w:val="20"/>
                <w:szCs w:val="20"/>
              </w:rPr>
              <w:t>S25018 Procedura aperta per l'affidamento del servizio di riconversione e rivalutazione dello stato patrimoniale ai fini Accrual, ricognizione fisica straordinaria del patrimonio immobiliare con revisione e aggiornamento dell'inventario del Comune di Bari e relativi aggiornamenti annuali, riclassificazione dei beni immobili e predisposizione contabilità economico patrimoniale secondo il principio Accrual attraverso la fornitura di un sistema informativo patrimoniale/software di contabilità per il periodo di esercizio 2025/2026/2027</w:t>
            </w:r>
          </w:p>
        </w:tc>
      </w:tr>
      <w:tr w:rsidR="00A91034" w:rsidRPr="00CE3A09" w14:paraId="72884C89" w14:textId="77777777" w:rsidTr="00A91034">
        <w:trPr>
          <w:trHeight w:val="20"/>
        </w:trPr>
        <w:tc>
          <w:tcPr>
            <w:tcW w:w="438" w:type="pct"/>
            <w:tcBorders>
              <w:left w:val="nil"/>
            </w:tcBorders>
            <w:vAlign w:val="center"/>
          </w:tcPr>
          <w:p w14:paraId="096CCE05" w14:textId="145F3562" w:rsidR="00A91034" w:rsidRPr="00283E22"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2E283ECE" w14:textId="0A36ADAC" w:rsidR="00A91034" w:rsidRDefault="00A91034" w:rsidP="00A91034">
            <w:pPr>
              <w:spacing w:after="0" w:line="240" w:lineRule="auto"/>
              <w:jc w:val="center"/>
              <w:rPr>
                <w:rFonts w:ascii="Calibri" w:hAnsi="Calibri" w:cs="Calibri"/>
                <w:sz w:val="20"/>
                <w:szCs w:val="20"/>
              </w:rPr>
            </w:pPr>
          </w:p>
        </w:tc>
        <w:tc>
          <w:tcPr>
            <w:tcW w:w="546" w:type="pct"/>
            <w:vAlign w:val="center"/>
          </w:tcPr>
          <w:p w14:paraId="58FE2606" w14:textId="508EA4A3" w:rsidR="00A91034" w:rsidRDefault="00A91034" w:rsidP="00A91034">
            <w:pPr>
              <w:spacing w:after="0" w:line="240" w:lineRule="auto"/>
              <w:jc w:val="center"/>
              <w:rPr>
                <w:rFonts w:ascii="Calibri" w:hAnsi="Calibri" w:cs="Calibri"/>
                <w:sz w:val="20"/>
                <w:szCs w:val="20"/>
              </w:rPr>
            </w:pPr>
            <w:r>
              <w:rPr>
                <w:rFonts w:ascii="Calibri" w:hAnsi="Calibri" w:cs="Calibri"/>
                <w:sz w:val="20"/>
                <w:szCs w:val="20"/>
              </w:rPr>
              <w:t>215.017,62</w:t>
            </w:r>
          </w:p>
        </w:tc>
        <w:tc>
          <w:tcPr>
            <w:tcW w:w="657" w:type="pct"/>
            <w:vAlign w:val="center"/>
          </w:tcPr>
          <w:p w14:paraId="29058F12" w14:textId="0B4EEC4A" w:rsidR="00A91034" w:rsidRDefault="00A91034" w:rsidP="00A91034">
            <w:pPr>
              <w:spacing w:after="0" w:line="240" w:lineRule="auto"/>
              <w:jc w:val="center"/>
              <w:rPr>
                <w:rFonts w:ascii="Calibri" w:hAnsi="Calibri" w:cs="Calibri"/>
                <w:sz w:val="20"/>
                <w:szCs w:val="20"/>
              </w:rPr>
            </w:pPr>
            <w:r>
              <w:rPr>
                <w:rFonts w:ascii="Calibri" w:hAnsi="Calibri" w:cs="Calibri"/>
                <w:sz w:val="20"/>
                <w:szCs w:val="20"/>
              </w:rPr>
              <w:t>15/01/2026</w:t>
            </w:r>
          </w:p>
        </w:tc>
        <w:tc>
          <w:tcPr>
            <w:tcW w:w="601" w:type="pct"/>
            <w:vAlign w:val="center"/>
          </w:tcPr>
          <w:p w14:paraId="554E65AD" w14:textId="43EDCE57" w:rsidR="00A91034" w:rsidRDefault="00A91034" w:rsidP="00A91034">
            <w:pPr>
              <w:spacing w:after="0" w:line="240" w:lineRule="auto"/>
              <w:rPr>
                <w:rFonts w:ascii="Calibri" w:hAnsi="Calibri" w:cs="Calibri"/>
                <w:sz w:val="20"/>
                <w:szCs w:val="20"/>
              </w:rPr>
            </w:pPr>
            <w:r>
              <w:rPr>
                <w:rFonts w:ascii="Calibri" w:hAnsi="Calibri" w:cs="Calibri"/>
                <w:sz w:val="20"/>
                <w:szCs w:val="20"/>
              </w:rPr>
              <w:t>RFI SpA</w:t>
            </w:r>
          </w:p>
        </w:tc>
        <w:tc>
          <w:tcPr>
            <w:tcW w:w="2211" w:type="pct"/>
            <w:tcBorders>
              <w:right w:val="nil"/>
            </w:tcBorders>
            <w:vAlign w:val="center"/>
          </w:tcPr>
          <w:p w14:paraId="3B9F8A45" w14:textId="1B7DCA59" w:rsidR="00A91034" w:rsidRDefault="00A91034" w:rsidP="00A91034">
            <w:pPr>
              <w:spacing w:after="0" w:line="240" w:lineRule="auto"/>
              <w:jc w:val="both"/>
              <w:rPr>
                <w:rFonts w:ascii="Calibri" w:hAnsi="Calibri" w:cs="Calibri"/>
                <w:sz w:val="20"/>
                <w:szCs w:val="20"/>
              </w:rPr>
            </w:pPr>
            <w:r>
              <w:rPr>
                <w:rFonts w:ascii="Calibri" w:hAnsi="Calibri" w:cs="Calibri"/>
                <w:sz w:val="20"/>
                <w:szCs w:val="20"/>
              </w:rPr>
              <w:t>Ricorso a sistemi di qualificazione RFI - DAC.0700.2025 avente per oggetto l'affidamento del Servizio di Collaudo Tecnico Amministrativo dei lavori relativi alla realizzazione del Raddoppio della linea ferroviaria Decimomannu-Villamassargia lotto 2, compreso tra il km 3+460 circa (Posto di comunicazione Villaspeciosa) ed il km 9 circa della linea storica (Posto di comunicazione Polveriera) per uno sviluppo complessivo di circa 5,5 km, prevedendo l'ampliamento del sedime della Linea storica, comprensivo della realizzazione di un primo piazzale tecnologico (PT01) alla chilometrica 4+060 della linea storica e del corrispondente fabbricato tecnologico FA01, di un secondo piazzale tecnologico alla chilometrica 7+885 della linea storica e del corrispondente fabbricato tecnologico FA02, della soppressione del Passaggio a livello alla chilometrica 7+720 e della realizzazione di una nuova viabilità NV02 che consente la ricucitura della maglia viaria esistente attraverso il nuovo cavalcaferrovia di progetto (IV01) scavalcando la nuova linea ferroviaria, di cui alla Convenzione R1861-A2025.</w:t>
            </w:r>
          </w:p>
        </w:tc>
      </w:tr>
      <w:tr w:rsidR="00A91034" w:rsidRPr="00CE3A09" w14:paraId="46FCCBF7" w14:textId="77777777" w:rsidTr="00A91034">
        <w:trPr>
          <w:trHeight w:val="20"/>
        </w:trPr>
        <w:tc>
          <w:tcPr>
            <w:tcW w:w="438" w:type="pct"/>
            <w:tcBorders>
              <w:left w:val="nil"/>
            </w:tcBorders>
            <w:vAlign w:val="center"/>
          </w:tcPr>
          <w:p w14:paraId="2007F790" w14:textId="238FAC79" w:rsidR="00A91034" w:rsidRPr="00283E22"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vAlign w:val="center"/>
          </w:tcPr>
          <w:p w14:paraId="6CB10F00" w14:textId="54F48195" w:rsidR="00A91034" w:rsidRDefault="00A91034" w:rsidP="00A91034">
            <w:pPr>
              <w:spacing w:after="0" w:line="240" w:lineRule="auto"/>
              <w:jc w:val="center"/>
              <w:rPr>
                <w:rFonts w:ascii="Calibri" w:hAnsi="Calibri" w:cs="Calibri"/>
                <w:sz w:val="20"/>
                <w:szCs w:val="20"/>
              </w:rPr>
            </w:pPr>
            <w:r>
              <w:rPr>
                <w:rFonts w:ascii="Calibri" w:hAnsi="Calibri" w:cs="Calibri"/>
                <w:sz w:val="20"/>
                <w:szCs w:val="20"/>
              </w:rPr>
              <w:t>Trento</w:t>
            </w:r>
          </w:p>
        </w:tc>
        <w:tc>
          <w:tcPr>
            <w:tcW w:w="546" w:type="pct"/>
            <w:vAlign w:val="center"/>
          </w:tcPr>
          <w:p w14:paraId="5F995BF9" w14:textId="431C25DE" w:rsidR="00A91034" w:rsidRDefault="00A91034" w:rsidP="00A91034">
            <w:pPr>
              <w:spacing w:after="0" w:line="240" w:lineRule="auto"/>
              <w:jc w:val="center"/>
              <w:rPr>
                <w:rFonts w:ascii="Calibri" w:hAnsi="Calibri" w:cs="Calibri"/>
                <w:sz w:val="20"/>
                <w:szCs w:val="20"/>
              </w:rPr>
            </w:pPr>
            <w:r>
              <w:rPr>
                <w:rFonts w:ascii="Calibri" w:hAnsi="Calibri" w:cs="Calibri"/>
                <w:sz w:val="20"/>
                <w:szCs w:val="20"/>
              </w:rPr>
              <w:t>177.732,29</w:t>
            </w:r>
          </w:p>
        </w:tc>
        <w:tc>
          <w:tcPr>
            <w:tcW w:w="657" w:type="pct"/>
            <w:vAlign w:val="center"/>
          </w:tcPr>
          <w:p w14:paraId="196A4BBB" w14:textId="29E58F57" w:rsidR="00A91034" w:rsidRDefault="00A91034" w:rsidP="00A91034">
            <w:pPr>
              <w:spacing w:after="0" w:line="240" w:lineRule="auto"/>
              <w:jc w:val="center"/>
              <w:rPr>
                <w:rFonts w:ascii="Calibri" w:hAnsi="Calibri" w:cs="Calibri"/>
                <w:sz w:val="20"/>
                <w:szCs w:val="20"/>
              </w:rPr>
            </w:pPr>
            <w:r>
              <w:rPr>
                <w:rFonts w:ascii="Calibri" w:hAnsi="Calibri" w:cs="Calibri"/>
                <w:sz w:val="20"/>
                <w:szCs w:val="20"/>
              </w:rPr>
              <w:t>05/02/2026</w:t>
            </w:r>
          </w:p>
        </w:tc>
        <w:tc>
          <w:tcPr>
            <w:tcW w:w="601" w:type="pct"/>
            <w:vAlign w:val="center"/>
          </w:tcPr>
          <w:p w14:paraId="1DE80A78" w14:textId="44BDA122" w:rsidR="00A91034" w:rsidRDefault="00A91034" w:rsidP="00A91034">
            <w:pPr>
              <w:spacing w:after="0" w:line="240" w:lineRule="auto"/>
              <w:rPr>
                <w:rFonts w:ascii="Calibri" w:hAnsi="Calibri" w:cs="Calibri"/>
                <w:sz w:val="20"/>
                <w:szCs w:val="20"/>
              </w:rPr>
            </w:pPr>
            <w:r>
              <w:rPr>
                <w:rFonts w:ascii="Calibri" w:hAnsi="Calibri" w:cs="Calibri"/>
                <w:sz w:val="20"/>
                <w:szCs w:val="20"/>
              </w:rPr>
              <w:t>Patrimonio del Trentino SpA</w:t>
            </w:r>
          </w:p>
        </w:tc>
        <w:tc>
          <w:tcPr>
            <w:tcW w:w="2211" w:type="pct"/>
            <w:tcBorders>
              <w:right w:val="nil"/>
            </w:tcBorders>
            <w:vAlign w:val="center"/>
          </w:tcPr>
          <w:p w14:paraId="69E666A6" w14:textId="58B7AB3C" w:rsidR="00A91034" w:rsidRDefault="00A91034" w:rsidP="00A91034">
            <w:pPr>
              <w:spacing w:after="0" w:line="240" w:lineRule="auto"/>
              <w:jc w:val="both"/>
              <w:rPr>
                <w:rFonts w:ascii="Calibri" w:hAnsi="Calibri" w:cs="Calibri"/>
                <w:sz w:val="20"/>
                <w:szCs w:val="20"/>
              </w:rPr>
            </w:pPr>
            <w:r>
              <w:rPr>
                <w:rFonts w:ascii="Calibri" w:hAnsi="Calibri" w:cs="Calibri"/>
                <w:sz w:val="20"/>
                <w:szCs w:val="20"/>
              </w:rPr>
              <w:t>Progettazione impiantistica elettrica, termoidraulica e impianti speciali nell'ambito di un appalto integrato ai sensi dell'art. 44 del D.Lgs. 36/2023: redazione del progetto di fattibilità tecnico-economica (PFTE), nonché componente dell'Ufficio di Direzione Lavori relativi al restauro del palazzo ex Inail in p.ed. 3117 c.c. Trento</w:t>
            </w:r>
          </w:p>
        </w:tc>
      </w:tr>
      <w:tr w:rsidR="00A91034" w:rsidRPr="00CE3A09" w14:paraId="0EDCB5BE" w14:textId="77777777" w:rsidTr="00A91034">
        <w:trPr>
          <w:trHeight w:val="20"/>
        </w:trPr>
        <w:tc>
          <w:tcPr>
            <w:tcW w:w="438" w:type="pct"/>
            <w:tcBorders>
              <w:left w:val="nil"/>
              <w:bottom w:val="single" w:sz="24" w:space="0" w:color="BFBFBF" w:themeColor="background1" w:themeShade="BF"/>
            </w:tcBorders>
            <w:vAlign w:val="center"/>
          </w:tcPr>
          <w:p w14:paraId="213AA810" w14:textId="6B8A66C7" w:rsidR="00A91034" w:rsidRPr="00283E22" w:rsidRDefault="00A91034" w:rsidP="00A91034">
            <w:pPr>
              <w:spacing w:after="0" w:line="240" w:lineRule="auto"/>
              <w:jc w:val="center"/>
              <w:rPr>
                <w:rFonts w:cstheme="minorHAnsi"/>
                <w:sz w:val="20"/>
                <w:szCs w:val="20"/>
              </w:rPr>
            </w:pPr>
            <w:r w:rsidRPr="00283E22">
              <w:rPr>
                <w:rFonts w:cstheme="minorHAnsi"/>
                <w:sz w:val="20"/>
                <w:szCs w:val="20"/>
              </w:rPr>
              <w:t>Altri bandi</w:t>
            </w:r>
          </w:p>
        </w:tc>
        <w:tc>
          <w:tcPr>
            <w:tcW w:w="547" w:type="pct"/>
            <w:tcBorders>
              <w:bottom w:val="single" w:sz="24" w:space="0" w:color="BFBFBF" w:themeColor="background1" w:themeShade="BF"/>
            </w:tcBorders>
            <w:vAlign w:val="center"/>
          </w:tcPr>
          <w:p w14:paraId="624E4374" w14:textId="0E0D47ED" w:rsidR="00A91034" w:rsidRDefault="00A91034" w:rsidP="00A91034">
            <w:pPr>
              <w:spacing w:after="0" w:line="240" w:lineRule="auto"/>
              <w:jc w:val="center"/>
              <w:rPr>
                <w:rFonts w:ascii="Calibri" w:hAnsi="Calibri" w:cs="Calibri"/>
                <w:sz w:val="20"/>
                <w:szCs w:val="20"/>
              </w:rPr>
            </w:pPr>
            <w:r>
              <w:rPr>
                <w:rFonts w:ascii="Calibri" w:hAnsi="Calibri" w:cs="Calibri"/>
                <w:sz w:val="20"/>
                <w:szCs w:val="20"/>
              </w:rPr>
              <w:t>Catanzaro</w:t>
            </w:r>
          </w:p>
        </w:tc>
        <w:tc>
          <w:tcPr>
            <w:tcW w:w="546" w:type="pct"/>
            <w:tcBorders>
              <w:bottom w:val="single" w:sz="24" w:space="0" w:color="BFBFBF" w:themeColor="background1" w:themeShade="BF"/>
            </w:tcBorders>
            <w:vAlign w:val="center"/>
          </w:tcPr>
          <w:p w14:paraId="6F7EAA94" w14:textId="2E8D178E" w:rsidR="00A91034" w:rsidRDefault="00A91034" w:rsidP="00A91034">
            <w:pPr>
              <w:spacing w:after="0" w:line="240" w:lineRule="auto"/>
              <w:jc w:val="center"/>
              <w:rPr>
                <w:rFonts w:ascii="Calibri" w:hAnsi="Calibri" w:cs="Calibri"/>
                <w:sz w:val="20"/>
                <w:szCs w:val="20"/>
              </w:rPr>
            </w:pPr>
            <w:r>
              <w:rPr>
                <w:rFonts w:ascii="Calibri" w:hAnsi="Calibri" w:cs="Calibri"/>
                <w:sz w:val="20"/>
                <w:szCs w:val="20"/>
              </w:rPr>
              <w:t>150.000,00</w:t>
            </w:r>
          </w:p>
        </w:tc>
        <w:tc>
          <w:tcPr>
            <w:tcW w:w="657" w:type="pct"/>
            <w:tcBorders>
              <w:bottom w:val="single" w:sz="24" w:space="0" w:color="BFBFBF" w:themeColor="background1" w:themeShade="BF"/>
            </w:tcBorders>
            <w:vAlign w:val="center"/>
          </w:tcPr>
          <w:p w14:paraId="6962F01E" w14:textId="75CD6EDC" w:rsidR="00A91034" w:rsidRDefault="00A91034" w:rsidP="00A91034">
            <w:pPr>
              <w:spacing w:after="0" w:line="240" w:lineRule="auto"/>
              <w:jc w:val="center"/>
              <w:rPr>
                <w:rFonts w:ascii="Calibri" w:hAnsi="Calibri" w:cs="Calibri"/>
                <w:sz w:val="20"/>
                <w:szCs w:val="20"/>
              </w:rPr>
            </w:pPr>
            <w:r>
              <w:rPr>
                <w:rFonts w:ascii="Calibri" w:hAnsi="Calibri" w:cs="Calibri"/>
                <w:sz w:val="20"/>
                <w:szCs w:val="20"/>
              </w:rPr>
              <w:t>23/01/2026</w:t>
            </w:r>
          </w:p>
        </w:tc>
        <w:tc>
          <w:tcPr>
            <w:tcW w:w="601" w:type="pct"/>
            <w:tcBorders>
              <w:bottom w:val="single" w:sz="24" w:space="0" w:color="BFBFBF" w:themeColor="background1" w:themeShade="BF"/>
            </w:tcBorders>
            <w:vAlign w:val="center"/>
          </w:tcPr>
          <w:p w14:paraId="13A28E96" w14:textId="22E50D79" w:rsidR="00A91034" w:rsidRDefault="00A91034" w:rsidP="00A91034">
            <w:pPr>
              <w:spacing w:after="0" w:line="240" w:lineRule="auto"/>
              <w:rPr>
                <w:rFonts w:ascii="Calibri" w:hAnsi="Calibri" w:cs="Calibri"/>
                <w:sz w:val="20"/>
                <w:szCs w:val="20"/>
              </w:rPr>
            </w:pPr>
            <w:r>
              <w:rPr>
                <w:rFonts w:ascii="Calibri" w:hAnsi="Calibri" w:cs="Calibri"/>
                <w:sz w:val="20"/>
                <w:szCs w:val="20"/>
              </w:rPr>
              <w:t xml:space="preserve">SACAL SpA </w:t>
            </w:r>
          </w:p>
        </w:tc>
        <w:tc>
          <w:tcPr>
            <w:tcW w:w="2211" w:type="pct"/>
            <w:tcBorders>
              <w:bottom w:val="single" w:sz="24" w:space="0" w:color="BFBFBF" w:themeColor="background1" w:themeShade="BF"/>
              <w:right w:val="nil"/>
            </w:tcBorders>
            <w:vAlign w:val="center"/>
          </w:tcPr>
          <w:p w14:paraId="5E44C23E" w14:textId="0791D953" w:rsidR="00A91034" w:rsidRDefault="00A91034" w:rsidP="00A91034">
            <w:pPr>
              <w:spacing w:after="0" w:line="240" w:lineRule="auto"/>
              <w:jc w:val="both"/>
              <w:rPr>
                <w:rFonts w:ascii="Calibri" w:hAnsi="Calibri" w:cs="Calibri"/>
                <w:sz w:val="20"/>
                <w:szCs w:val="20"/>
              </w:rPr>
            </w:pPr>
            <w:r>
              <w:rPr>
                <w:rFonts w:ascii="Calibri" w:hAnsi="Calibri" w:cs="Calibri"/>
                <w:sz w:val="20"/>
                <w:szCs w:val="20"/>
              </w:rPr>
              <w:t>Iniziativa artistica SACAL - Logo e opera d'arte per gli aeroporti del sistema aeroportuale calabrese - Crotone, Lamezia Terme, Reggio Calabria.</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6FAC"/>
    <w:rsid w:val="00095204"/>
    <w:rsid w:val="000D23B7"/>
    <w:rsid w:val="00111E7F"/>
    <w:rsid w:val="00132D9A"/>
    <w:rsid w:val="001472C8"/>
    <w:rsid w:val="00152DCE"/>
    <w:rsid w:val="001A0057"/>
    <w:rsid w:val="001C6C1B"/>
    <w:rsid w:val="001E1112"/>
    <w:rsid w:val="002B265E"/>
    <w:rsid w:val="002D66AA"/>
    <w:rsid w:val="002D6B7D"/>
    <w:rsid w:val="00301BE3"/>
    <w:rsid w:val="0032700D"/>
    <w:rsid w:val="00396EFB"/>
    <w:rsid w:val="003C62AB"/>
    <w:rsid w:val="003E2B00"/>
    <w:rsid w:val="003E4526"/>
    <w:rsid w:val="003E5E42"/>
    <w:rsid w:val="0040469C"/>
    <w:rsid w:val="00425326"/>
    <w:rsid w:val="00453A41"/>
    <w:rsid w:val="00514329"/>
    <w:rsid w:val="00514D28"/>
    <w:rsid w:val="005664AA"/>
    <w:rsid w:val="0056738B"/>
    <w:rsid w:val="0058767D"/>
    <w:rsid w:val="005A4601"/>
    <w:rsid w:val="005A5800"/>
    <w:rsid w:val="005C4C89"/>
    <w:rsid w:val="00603D03"/>
    <w:rsid w:val="006427C1"/>
    <w:rsid w:val="00681AD3"/>
    <w:rsid w:val="006A2A32"/>
    <w:rsid w:val="006D37F3"/>
    <w:rsid w:val="006F663C"/>
    <w:rsid w:val="007103C2"/>
    <w:rsid w:val="007157F6"/>
    <w:rsid w:val="007358E4"/>
    <w:rsid w:val="007606ED"/>
    <w:rsid w:val="007D7EDD"/>
    <w:rsid w:val="00801014"/>
    <w:rsid w:val="00804214"/>
    <w:rsid w:val="008533EA"/>
    <w:rsid w:val="0089490D"/>
    <w:rsid w:val="008C06BF"/>
    <w:rsid w:val="00906DBE"/>
    <w:rsid w:val="00917C5F"/>
    <w:rsid w:val="009858CF"/>
    <w:rsid w:val="009A1A9B"/>
    <w:rsid w:val="009F490F"/>
    <w:rsid w:val="00A12EAB"/>
    <w:rsid w:val="00A477F0"/>
    <w:rsid w:val="00A6502B"/>
    <w:rsid w:val="00A72F02"/>
    <w:rsid w:val="00A849EE"/>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5356E"/>
    <w:rsid w:val="00C7592D"/>
    <w:rsid w:val="00CE3A09"/>
    <w:rsid w:val="00DC4250"/>
    <w:rsid w:val="00DE2C24"/>
    <w:rsid w:val="00DF6955"/>
    <w:rsid w:val="00E05930"/>
    <w:rsid w:val="00E316E3"/>
    <w:rsid w:val="00E43BEF"/>
    <w:rsid w:val="00E45A5D"/>
    <w:rsid w:val="00E45FCE"/>
    <w:rsid w:val="00E471F6"/>
    <w:rsid w:val="00E81EB2"/>
    <w:rsid w:val="00E84F0C"/>
    <w:rsid w:val="00E85D78"/>
    <w:rsid w:val="00EA4715"/>
    <w:rsid w:val="00EB0A0C"/>
    <w:rsid w:val="00EE1A68"/>
    <w:rsid w:val="00F641B0"/>
    <w:rsid w:val="00F66DC9"/>
    <w:rsid w:val="00F77F76"/>
    <w:rsid w:val="00F902AB"/>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7859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2025-12-14T14:57:00Z</dcterms:created>
  <dcterms:modified xsi:type="dcterms:W3CDTF">2025-12-14T14:57:00Z</dcterms:modified>
</cp:coreProperties>
</file>