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042D" w14:textId="0A58BFF6" w:rsidR="004E32A1" w:rsidRPr="00430F11" w:rsidRDefault="00430F11">
      <w:pPr>
        <w:rPr>
          <w:b/>
          <w:bCs/>
          <w:sz w:val="32"/>
          <w:szCs w:val="32"/>
        </w:rPr>
      </w:pPr>
      <w:r w:rsidRPr="00430F11">
        <w:rPr>
          <w:b/>
          <w:bCs/>
          <w:sz w:val="32"/>
          <w:szCs w:val="32"/>
        </w:rPr>
        <w:t>LA PRIMA PARTE DELL’AUDIZIONE DEL MINISTRO DELLE INFRASTRUTTURE E DEI TRASPORTI MATTEO SALVINI ALLA COMMISSIONE AMBIENTE DELLA CAMERA – 12 NOVEMBRE 2025</w:t>
      </w:r>
    </w:p>
    <w:p w14:paraId="7D847409" w14:textId="77777777" w:rsidR="00430F11" w:rsidRDefault="00430F11">
      <w:pPr>
        <w:rPr>
          <w:sz w:val="28"/>
          <w:szCs w:val="28"/>
        </w:rPr>
      </w:pPr>
    </w:p>
    <w:p w14:paraId="1BEC2079" w14:textId="77777777" w:rsidR="00430F11" w:rsidRPr="00430F11" w:rsidRDefault="00430F11" w:rsidP="00430F11">
      <w:pPr>
        <w:rPr>
          <w:sz w:val="28"/>
          <w:szCs w:val="28"/>
        </w:rPr>
      </w:pPr>
      <w:r w:rsidRPr="00430F11">
        <w:rPr>
          <w:sz w:val="28"/>
          <w:szCs w:val="28"/>
        </w:rPr>
        <w:t xml:space="preserve">Vorrei innanzitutto ringraziare il Presidente Rotelli e i membri della Commissione per il confronto odierno sui due temi: l'iniziativa di </w:t>
      </w:r>
      <w:r w:rsidRPr="00430F11">
        <w:rPr>
          <w:b/>
          <w:bCs/>
          <w:sz w:val="28"/>
          <w:szCs w:val="28"/>
        </w:rPr>
        <w:t>riforma in materia edilizia</w:t>
      </w:r>
      <w:r w:rsidRPr="00430F11">
        <w:rPr>
          <w:sz w:val="28"/>
          <w:szCs w:val="28"/>
        </w:rPr>
        <w:t xml:space="preserve"> e le </w:t>
      </w:r>
      <w:r w:rsidRPr="00430F11">
        <w:rPr>
          <w:b/>
          <w:bCs/>
          <w:sz w:val="28"/>
          <w:szCs w:val="28"/>
        </w:rPr>
        <w:t>politiche per la casa</w:t>
      </w:r>
      <w:r w:rsidRPr="00430F11">
        <w:rPr>
          <w:sz w:val="28"/>
          <w:szCs w:val="28"/>
        </w:rPr>
        <w:t xml:space="preserve">. Due prospettive effettive, sinergiche e complementari, che contribuiscono a plasmare quello che è un diritto fondamentale, </w:t>
      </w:r>
      <w:r w:rsidRPr="00430F11">
        <w:rPr>
          <w:b/>
          <w:bCs/>
          <w:sz w:val="28"/>
          <w:szCs w:val="28"/>
        </w:rPr>
        <w:t>il diritto alla casa</w:t>
      </w:r>
      <w:r w:rsidRPr="00430F11">
        <w:rPr>
          <w:sz w:val="28"/>
          <w:szCs w:val="28"/>
        </w:rPr>
        <w:t xml:space="preserve">: la possibilità di rispondere all'emergenza del caro affitti, di liberare immobili e appartamenti abbandonati in favore di chi una casa non ce l'ha, di recuperare un patrimonio edilizio e insieme un tessuto urbano degradato. </w:t>
      </w:r>
    </w:p>
    <w:p w14:paraId="4CA68A56" w14:textId="77777777" w:rsidR="00430F11" w:rsidRPr="00430F11" w:rsidRDefault="00430F11" w:rsidP="00430F11">
      <w:pPr>
        <w:rPr>
          <w:b/>
          <w:bCs/>
          <w:sz w:val="28"/>
          <w:szCs w:val="28"/>
        </w:rPr>
      </w:pPr>
      <w:r w:rsidRPr="00430F11">
        <w:rPr>
          <w:sz w:val="28"/>
          <w:szCs w:val="28"/>
        </w:rPr>
        <w:t xml:space="preserve">Questo dipende anche dal </w:t>
      </w:r>
      <w:r w:rsidRPr="00430F11">
        <w:rPr>
          <w:b/>
          <w:bCs/>
          <w:sz w:val="28"/>
          <w:szCs w:val="28"/>
        </w:rPr>
        <w:t>contesto regolatorio</w:t>
      </w:r>
      <w:r w:rsidRPr="00430F11">
        <w:rPr>
          <w:sz w:val="28"/>
          <w:szCs w:val="28"/>
        </w:rPr>
        <w:t xml:space="preserve"> di riferimento. Se l'impianto di regole che governa il patrimonio immobiliare funziona e sa rispondere alle esigenze degli operatori di settore e delle famiglie, allora anche le politiche di edilizia residenziale sociale girano meglio. In altri termini, </w:t>
      </w:r>
      <w:r w:rsidRPr="00430F11">
        <w:rPr>
          <w:b/>
          <w:bCs/>
          <w:sz w:val="28"/>
          <w:szCs w:val="28"/>
        </w:rPr>
        <w:t xml:space="preserve">l'edilizia è il mezzo, la casa il fine sociale. </w:t>
      </w:r>
    </w:p>
    <w:p w14:paraId="2C15F0EA" w14:textId="77777777" w:rsidR="00430F11" w:rsidRPr="00430F11" w:rsidRDefault="00430F11" w:rsidP="00430F11">
      <w:pPr>
        <w:rPr>
          <w:sz w:val="28"/>
          <w:szCs w:val="28"/>
        </w:rPr>
      </w:pPr>
      <w:r w:rsidRPr="00430F11">
        <w:rPr>
          <w:sz w:val="28"/>
          <w:szCs w:val="28"/>
        </w:rPr>
        <w:t xml:space="preserve">In questa prospettiva vorrei partire con ordine proprio da una disamina delle iniziative intraprese nel settore dell'edilizia dal Ministero che ho l'onore di guidare da ormai tre anni. Sin dall’inizio del mio mandato, ho avviato un percorso di riforma volto </w:t>
      </w:r>
      <w:proofErr w:type="gramStart"/>
      <w:r w:rsidRPr="00430F11">
        <w:rPr>
          <w:sz w:val="28"/>
          <w:szCs w:val="28"/>
        </w:rPr>
        <w:t>ad</w:t>
      </w:r>
      <w:proofErr w:type="gramEnd"/>
      <w:r w:rsidRPr="00430F11">
        <w:rPr>
          <w:sz w:val="28"/>
          <w:szCs w:val="28"/>
        </w:rPr>
        <w:t xml:space="preserve"> adeguare le regole e le procedure edilizie ai cambiamenti in un </w:t>
      </w:r>
      <w:r w:rsidRPr="00430F11">
        <w:rPr>
          <w:b/>
          <w:bCs/>
          <w:sz w:val="28"/>
          <w:szCs w:val="28"/>
        </w:rPr>
        <w:t>contesto in rapida trasformazione</w:t>
      </w:r>
      <w:r w:rsidRPr="00430F11">
        <w:rPr>
          <w:sz w:val="28"/>
          <w:szCs w:val="28"/>
        </w:rPr>
        <w:t xml:space="preserve">. </w:t>
      </w:r>
    </w:p>
    <w:p w14:paraId="77D4A756" w14:textId="77777777" w:rsidR="00430F11" w:rsidRPr="00430F11" w:rsidRDefault="00430F11" w:rsidP="00430F11">
      <w:pPr>
        <w:rPr>
          <w:b/>
          <w:bCs/>
          <w:sz w:val="40"/>
          <w:szCs w:val="40"/>
        </w:rPr>
      </w:pPr>
      <w:r w:rsidRPr="00430F11">
        <w:rPr>
          <w:b/>
          <w:bCs/>
          <w:sz w:val="40"/>
          <w:szCs w:val="40"/>
        </w:rPr>
        <w:t>Il decreto salva-casa</w:t>
      </w:r>
    </w:p>
    <w:p w14:paraId="34248F45" w14:textId="77777777" w:rsidR="00430F11" w:rsidRPr="00430F11" w:rsidRDefault="00430F11" w:rsidP="00430F11">
      <w:pPr>
        <w:rPr>
          <w:sz w:val="28"/>
          <w:szCs w:val="28"/>
        </w:rPr>
      </w:pPr>
      <w:r w:rsidRPr="00430F11">
        <w:rPr>
          <w:sz w:val="28"/>
          <w:szCs w:val="28"/>
        </w:rPr>
        <w:t xml:space="preserve">Il primo riferimento è il cosiddetto </w:t>
      </w:r>
      <w:r w:rsidRPr="00430F11">
        <w:rPr>
          <w:b/>
          <w:bCs/>
          <w:sz w:val="28"/>
          <w:szCs w:val="28"/>
        </w:rPr>
        <w:t>decreto salva-casa</w:t>
      </w:r>
      <w:r w:rsidRPr="00430F11">
        <w:rPr>
          <w:sz w:val="28"/>
          <w:szCs w:val="28"/>
        </w:rPr>
        <w:t xml:space="preserve"> che proprio in questa Commissione è stato oggetto di un intenso confronto e di un proficuo lavoro. Rinnovo quindi un ringraziamento ai colleghi onorevoli che con noi hanno contribuito con approccio costruttivo al risultato finale. </w:t>
      </w:r>
    </w:p>
    <w:p w14:paraId="79991BCF" w14:textId="77777777" w:rsidR="00430F11" w:rsidRPr="00430F11" w:rsidRDefault="00430F11" w:rsidP="00430F11">
      <w:pPr>
        <w:rPr>
          <w:sz w:val="28"/>
          <w:szCs w:val="28"/>
        </w:rPr>
      </w:pPr>
      <w:r w:rsidRPr="00430F11">
        <w:rPr>
          <w:sz w:val="28"/>
          <w:szCs w:val="28"/>
        </w:rPr>
        <w:t xml:space="preserve">Con quel decreto abbiamo voluto dare risposte concrete e immediate a migliaia di cittadini, introducendo semplificazioni attese da tempo per sanare le difformità edilizie di minore entità che costituiscono un problema generalizzato in tutte le aree del Paese. Lo ribadisco: le novità introdotte con il salva-casa rappresenta il risultato forse più ambizioso che si potesse raggiungere con gli interventi normativi di urgenza volti a dare un'iniezione di fiducia a un settore in grave difficoltà. </w:t>
      </w:r>
    </w:p>
    <w:p w14:paraId="01CCDAED" w14:textId="77777777" w:rsidR="00430F11" w:rsidRPr="00430F11" w:rsidRDefault="00430F11" w:rsidP="00430F11">
      <w:pPr>
        <w:rPr>
          <w:sz w:val="28"/>
          <w:szCs w:val="28"/>
        </w:rPr>
      </w:pPr>
      <w:r w:rsidRPr="00430F11">
        <w:rPr>
          <w:sz w:val="28"/>
          <w:szCs w:val="28"/>
        </w:rPr>
        <w:lastRenderedPageBreak/>
        <w:t xml:space="preserve">A questo proposito sottolineo che le statistiche, i numeri parlano chiaro </w:t>
      </w:r>
      <w:r w:rsidRPr="00430F11">
        <w:rPr>
          <w:b/>
          <w:bCs/>
          <w:sz w:val="28"/>
          <w:szCs w:val="28"/>
        </w:rPr>
        <w:t>sull'impatto positivo</w:t>
      </w:r>
      <w:r w:rsidRPr="00430F11">
        <w:rPr>
          <w:sz w:val="28"/>
          <w:szCs w:val="28"/>
        </w:rPr>
        <w:t xml:space="preserve"> che il salva-casa ha impresso al </w:t>
      </w:r>
      <w:r w:rsidRPr="00430F11">
        <w:rPr>
          <w:b/>
          <w:bCs/>
          <w:sz w:val="28"/>
          <w:szCs w:val="28"/>
        </w:rPr>
        <w:t>mercato delle abitazioni</w:t>
      </w:r>
      <w:r w:rsidRPr="00430F11">
        <w:rPr>
          <w:sz w:val="28"/>
          <w:szCs w:val="28"/>
        </w:rPr>
        <w:t xml:space="preserve">. Infatti, sulla base dei dati più recenti, emerge un quadro di progressiva ripresa del mercato immobiliare in Italia, dopo un periodo di calo del 2023, con particolare riferimento al mercato delle abitazioni. Segnalo che nel primo semestre del 2024, prima dell'entrata in vigore del decreto salva-casa, il mercato immobiliare registrava segnale di difficoltà. Le compravendite si attestavano su 341.000 transazioni, con un -7% nel primo trimestre. Con l'entrata in vigore del decreto 28 luglio 2024, a partire dal terzo trimestre 2024 si è osservata un'inversione di tendenza. Le compravendite, infatti, sono cresciute del 2,7% nel terzo trimestre e del 7,6% addirittura nel quarto trimestre rispetto agli stessi periodi del 2023. </w:t>
      </w:r>
    </w:p>
    <w:p w14:paraId="2AF759FD" w14:textId="77777777" w:rsidR="00430F11" w:rsidRPr="00430F11" w:rsidRDefault="00430F11" w:rsidP="00430F11">
      <w:pPr>
        <w:rPr>
          <w:sz w:val="28"/>
          <w:szCs w:val="28"/>
        </w:rPr>
      </w:pPr>
      <w:r w:rsidRPr="00430F11">
        <w:rPr>
          <w:sz w:val="28"/>
          <w:szCs w:val="28"/>
        </w:rPr>
        <w:t xml:space="preserve">Tale dinamica positiva si è consolidata ulteriormente anche nel corrente 2025, con aumenti dell'11% nel primo trimestre, dell'8% nel secondo trimestre rispetto al già crescente 2024, per un totale di 751.000 transazioni nel periodo post decreto. Le locazioni hanno mostrato un andamento più moderato ma stabile a +1,1% nel terzo trimestre, -0,3 nel quarto, seguite da incrementi del +1% e del +1,5% nei primi due trimestri del 2025 per un totale di 945.000 nuovi contratti. </w:t>
      </w:r>
    </w:p>
    <w:p w14:paraId="6E4418F9" w14:textId="77777777" w:rsidR="00430F11" w:rsidRPr="00430F11" w:rsidRDefault="00430F11" w:rsidP="00430F11">
      <w:pPr>
        <w:rPr>
          <w:sz w:val="28"/>
          <w:szCs w:val="28"/>
        </w:rPr>
      </w:pPr>
      <w:r w:rsidRPr="00430F11">
        <w:rPr>
          <w:sz w:val="28"/>
          <w:szCs w:val="28"/>
        </w:rPr>
        <w:t xml:space="preserve">I numeri dicono che il decreto salva-casa ha coinciso con un rafforzamento della fiducia del comparto immobiliare: da una fase di contrazione che è durata fino al primo semestre del 2024 si è passati a una crescita robusta e progressiva delle compravendite e a una stabilizzazione con moderato incremento delle locazioni. La fonte è l'Osservatorio del mercato immobiliare residenziale dell'Agenzia delle Entrate. </w:t>
      </w:r>
    </w:p>
    <w:p w14:paraId="457F0609" w14:textId="77777777" w:rsidR="00430F11" w:rsidRPr="00430F11" w:rsidRDefault="00430F11" w:rsidP="00430F11">
      <w:pPr>
        <w:rPr>
          <w:sz w:val="28"/>
          <w:szCs w:val="28"/>
        </w:rPr>
      </w:pPr>
      <w:r w:rsidRPr="00430F11">
        <w:rPr>
          <w:sz w:val="28"/>
          <w:szCs w:val="28"/>
        </w:rPr>
        <w:t xml:space="preserve">Tanto premesso, fin dall'inizio era evidente che il salva-casa, per la natura stessa dell'intervento, avrebbe dovuto camminare sulle gambe degli enti territoriali che sono a diretto contatto con i cittadini. Infatti, anche nella fase attuativa il ruolo dei Comuni, così come delle Regioni, è stato da un lato decisivo, dall'altro, ahimè, profondamente asimmetrico, come qualche parlamentare di questa Commissione ha anche segnalato. </w:t>
      </w:r>
    </w:p>
    <w:p w14:paraId="35177198" w14:textId="77777777" w:rsidR="00430F11" w:rsidRPr="00430F11" w:rsidRDefault="00430F11" w:rsidP="00430F11">
      <w:pPr>
        <w:rPr>
          <w:sz w:val="28"/>
          <w:szCs w:val="28"/>
        </w:rPr>
      </w:pPr>
      <w:r w:rsidRPr="00430F11">
        <w:rPr>
          <w:sz w:val="28"/>
          <w:szCs w:val="28"/>
        </w:rPr>
        <w:t xml:space="preserve">Per questo motivo il nostro impegno al Ministero non si è esaurito con l'approvazione della norma, ma, consapevoli della complessità della materia, abbiamo pubblicato linee di indirizzo e criteri interpretativi rivolti a pubbliche amministrazioni, cittadini e operatori del settore. Con questo strumento interpretativo di supporto, privo ovviamente di carattere vincolante, abbiamo inteso accompagnare la messa a terra del decreto nell'ottica di un'applicazione il più possibile coerente e uniforme delle nuove disposizioni. Un ulteriore traguardo è stato raggiunto con l'approvazione in Conferenza Unificata dell'Accordo sull'aggiornamento della modulistica edilizia per l'applicazione del </w:t>
      </w:r>
      <w:proofErr w:type="gramStart"/>
      <w:r w:rsidRPr="00430F11">
        <w:rPr>
          <w:sz w:val="28"/>
          <w:szCs w:val="28"/>
        </w:rPr>
        <w:t>decreto legge</w:t>
      </w:r>
      <w:proofErr w:type="gramEnd"/>
      <w:r w:rsidRPr="00430F11">
        <w:rPr>
          <w:sz w:val="28"/>
          <w:szCs w:val="28"/>
        </w:rPr>
        <w:t xml:space="preserve"> salva-casa, che traduce in concrete semplificazioni documentali e procedurali le novità introdotte. </w:t>
      </w:r>
    </w:p>
    <w:p w14:paraId="5F6DA464" w14:textId="77777777" w:rsidR="00430F11" w:rsidRPr="00430F11" w:rsidRDefault="00430F11" w:rsidP="00430F11">
      <w:pPr>
        <w:rPr>
          <w:sz w:val="28"/>
          <w:szCs w:val="28"/>
        </w:rPr>
      </w:pPr>
      <w:r w:rsidRPr="00430F11">
        <w:rPr>
          <w:sz w:val="28"/>
          <w:szCs w:val="28"/>
        </w:rPr>
        <w:t xml:space="preserve">È stato un lavoro tecnico intenso, favorito proprio dall'adozione delle linee di indirizzo, che si è alimentato di un dialogo positivo e costante tra Governo, Regioni e Comuni. Infine, un'altra sfida attuativa ha riguardato la fase di recepimento della normativa a livello territoriale. Il Ministero ha infatti monitorato con grande attenzione le leggi regionali approvate per recepire le previsioni del salva-casa, nel pieno indiscusso rispetto delle prerogative delle Regioni. Ovviamente, da autonomista nella materia del governo del territorio, come Ministero abbiamo attivato un confronto costante con tutte le competenti strutture regionali. Questo dialogo condotto in uno spirito di leale collaborazione, si è svolto sia in chiave preventiva - alcune regioni ci hanno infatti trasmesso preventivamente i testi legislativi in fase di adozione - sia in chiave successiva, nell'ambito dei meccanismi esistenti di valutazione di legittimità delle stesse leggi regionali una volta adottate. L'obiettivo primario di questo monitoraggio e di questo confronto è stato quello di garantire, nell'interesse ultimo dei cittadini e degli operatori, la massima uniformità possibile di applicazione delle semplificazioni su tutto il territorio nazionale, scongiurando il rischio di disparità applicative derivanti da leggi regionali lesive del riparto di competenze. Concludendo su questo aspetto, si può affermare che il salva-casa, con i suoi seguiti attuativi, abbia creato un contesto favorevole, un terreno fertile per costruire un intervento più ambizioso. </w:t>
      </w:r>
    </w:p>
    <w:p w14:paraId="0C4877CF" w14:textId="77777777" w:rsidR="00430F11" w:rsidRPr="00430F11" w:rsidRDefault="00430F11" w:rsidP="00430F11">
      <w:pPr>
        <w:rPr>
          <w:b/>
          <w:bCs/>
          <w:sz w:val="40"/>
          <w:szCs w:val="40"/>
        </w:rPr>
      </w:pPr>
      <w:r w:rsidRPr="00430F11">
        <w:rPr>
          <w:b/>
          <w:bCs/>
          <w:sz w:val="40"/>
          <w:szCs w:val="40"/>
        </w:rPr>
        <w:t>La riforma del testo unico per l’edilizia</w:t>
      </w:r>
    </w:p>
    <w:p w14:paraId="5328EDC1" w14:textId="77777777" w:rsidR="00430F11" w:rsidRPr="00430F11" w:rsidRDefault="00430F11" w:rsidP="00430F11">
      <w:pPr>
        <w:rPr>
          <w:sz w:val="28"/>
          <w:szCs w:val="28"/>
        </w:rPr>
      </w:pPr>
      <w:r w:rsidRPr="00430F11">
        <w:rPr>
          <w:sz w:val="28"/>
          <w:szCs w:val="28"/>
        </w:rPr>
        <w:t xml:space="preserve">È proprio in questo contesto che ho promosso l'elaborazione di un più ampio progetto di riordino dell'intero Testo unico dell'edilizia che passa attraverso l'adozione di un disegno di legge delega: è il secondo punto che affronto in relazione. </w:t>
      </w:r>
    </w:p>
    <w:p w14:paraId="6435EFBC" w14:textId="77777777" w:rsidR="00430F11" w:rsidRPr="00430F11" w:rsidRDefault="00430F11" w:rsidP="00430F11">
      <w:pPr>
        <w:rPr>
          <w:sz w:val="28"/>
          <w:szCs w:val="28"/>
        </w:rPr>
      </w:pPr>
      <w:r w:rsidRPr="00430F11">
        <w:rPr>
          <w:sz w:val="28"/>
          <w:szCs w:val="28"/>
        </w:rPr>
        <w:t xml:space="preserve">Il provvedimento è ormai in fase di istruttoria avanzata a livello governativo ed </w:t>
      </w:r>
      <w:r w:rsidRPr="00430F11">
        <w:rPr>
          <w:b/>
          <w:bCs/>
          <w:sz w:val="28"/>
          <w:szCs w:val="28"/>
        </w:rPr>
        <w:t xml:space="preserve">è mia intenzione sottoporlo alla prima seduta utile del </w:t>
      </w:r>
      <w:proofErr w:type="gramStart"/>
      <w:r w:rsidRPr="00430F11">
        <w:rPr>
          <w:b/>
          <w:bCs/>
          <w:sz w:val="28"/>
          <w:szCs w:val="28"/>
        </w:rPr>
        <w:t>Consiglio dei Ministri</w:t>
      </w:r>
      <w:proofErr w:type="gramEnd"/>
      <w:r w:rsidRPr="00430F11">
        <w:rPr>
          <w:b/>
          <w:bCs/>
          <w:sz w:val="28"/>
          <w:szCs w:val="28"/>
        </w:rPr>
        <w:t xml:space="preserve"> nel corrente mese di novembre</w:t>
      </w:r>
      <w:r w:rsidRPr="00430F11">
        <w:rPr>
          <w:sz w:val="28"/>
          <w:szCs w:val="28"/>
        </w:rPr>
        <w:t xml:space="preserve">. Questo, a mio parere, il tassello fondamentale che </w:t>
      </w:r>
      <w:r w:rsidRPr="00430F11">
        <w:rPr>
          <w:b/>
          <w:bCs/>
          <w:sz w:val="28"/>
          <w:szCs w:val="28"/>
        </w:rPr>
        <w:t>chiude il cerchio</w:t>
      </w:r>
      <w:r w:rsidRPr="00430F11">
        <w:rPr>
          <w:sz w:val="28"/>
          <w:szCs w:val="28"/>
        </w:rPr>
        <w:t xml:space="preserve">. Dopo aver fornito risposte a specifiche urgenze, è ora il momento di mettere mano all'architettura complessiva del sistema per consegnare al Paese un corpo normativo moderno ed efficiente. L'attuale quadro regolatorio, infatti, in materia edilizia è il risultato di una stratificazione complessa, talvolta disorganica, che negli anni ha generato </w:t>
      </w:r>
      <w:r w:rsidRPr="00430F11">
        <w:rPr>
          <w:b/>
          <w:bCs/>
          <w:sz w:val="28"/>
          <w:szCs w:val="28"/>
        </w:rPr>
        <w:t>incertezza interpretativa</w:t>
      </w:r>
      <w:r w:rsidRPr="00430F11">
        <w:rPr>
          <w:sz w:val="28"/>
          <w:szCs w:val="28"/>
        </w:rPr>
        <w:t xml:space="preserve">, complessità procedurali e, in ultima analisi, un </w:t>
      </w:r>
      <w:r w:rsidRPr="00430F11">
        <w:rPr>
          <w:b/>
          <w:bCs/>
          <w:sz w:val="28"/>
          <w:szCs w:val="28"/>
        </w:rPr>
        <w:t>freno allo sviluppo e alla corretta gestione del territorio</w:t>
      </w:r>
      <w:r w:rsidRPr="00430F11">
        <w:rPr>
          <w:sz w:val="28"/>
          <w:szCs w:val="28"/>
        </w:rPr>
        <w:t xml:space="preserve">. L'obiettivo di un riordino organico, di un aggiornamento e di un coordinamento della legislazione edilizia rappresenta anche per gli operatori del settore un'urgenza non più rinviabile, serve a consolidare un settore che riconosciamo come motore di sviluppo, di benessere per i cittadini e per il tessuto imprenditoriale. </w:t>
      </w:r>
    </w:p>
    <w:p w14:paraId="043AEB59" w14:textId="77777777" w:rsidR="00430F11" w:rsidRPr="00430F11" w:rsidRDefault="00430F11" w:rsidP="00430F11">
      <w:pPr>
        <w:rPr>
          <w:sz w:val="28"/>
          <w:szCs w:val="28"/>
        </w:rPr>
      </w:pPr>
      <w:r w:rsidRPr="00430F11">
        <w:rPr>
          <w:sz w:val="28"/>
          <w:szCs w:val="28"/>
        </w:rPr>
        <w:t xml:space="preserve">A tal proposito evidenzio che il comparto delle costruzioni nel settore dell'edilizia ha generato nel 2024 investimenti pari a 223 miliardi di euro, di cui 107 per interventi su abitazioni private, 37 per interventi non residenziali privati e 78 per opere pubbliche. Proprio per venire incontro alle esigenze di un comparto così evidentemente strategico, non abbiamo disegnato questo provvedimento a porte chiuse. Il disegno di legge delega che il Governo si appresta a varare, infatti, è il frutto di un profondo e strutturato percorso di ascolto che ha preceduto la stesura finale del testo. Abbiamo infatti avviato un'ampia consultazione pubblica con numerose riunioni, conclusasi lo scorso febbraio del corrente anno. Questa consultazione ha visto la partecipazione attiva di tutti i principali attori del settore, incluse le categorie professionali e le associazioni di imprese riunite nel tavolo Piano Casa presso il Ministero delle Infrastrutture e Trasporti. </w:t>
      </w:r>
    </w:p>
    <w:p w14:paraId="636365F5" w14:textId="77777777" w:rsidR="00430F11" w:rsidRPr="00430F11" w:rsidRDefault="00430F11" w:rsidP="00430F11">
      <w:pPr>
        <w:rPr>
          <w:sz w:val="28"/>
          <w:szCs w:val="28"/>
        </w:rPr>
      </w:pPr>
      <w:r w:rsidRPr="00430F11">
        <w:rPr>
          <w:sz w:val="28"/>
          <w:szCs w:val="28"/>
        </w:rPr>
        <w:t xml:space="preserve">Abbiamo condotto un'analisi quantitativa e qualitativa di tutti i contributi ricevuti, 86 diversi contributi da 31 stakeholder partecipanti e 49 consultati. I risultati sono stati estremamente chiari. È stato un lavoro complesso, perché esaminare una mole di suggerimenti di questo tipo ha comportato per gli uffici, che ringrazio, un impegno non indifferente. </w:t>
      </w:r>
    </w:p>
    <w:p w14:paraId="774B63C8" w14:textId="77777777" w:rsidR="00430F11" w:rsidRPr="00430F11" w:rsidRDefault="00430F11" w:rsidP="00430F11">
      <w:pPr>
        <w:rPr>
          <w:sz w:val="28"/>
          <w:szCs w:val="28"/>
        </w:rPr>
      </w:pPr>
      <w:r w:rsidRPr="00430F11">
        <w:rPr>
          <w:sz w:val="28"/>
          <w:szCs w:val="28"/>
        </w:rPr>
        <w:t xml:space="preserve">I temi emersi come priorità assolute dagli operatori sono esattamente </w:t>
      </w:r>
      <w:r w:rsidRPr="00430F11">
        <w:rPr>
          <w:b/>
          <w:bCs/>
          <w:sz w:val="28"/>
          <w:szCs w:val="28"/>
        </w:rPr>
        <w:t>gli assi portanti su cui abbiamo costruito lo schema di disegno di legge governativo</w:t>
      </w:r>
      <w:r w:rsidRPr="00430F11">
        <w:rPr>
          <w:sz w:val="28"/>
          <w:szCs w:val="28"/>
        </w:rPr>
        <w:t xml:space="preserve"> di prossima approvazione. Mi riferisco, in ordine di priorità emersa dalla consultazione:</w:t>
      </w:r>
    </w:p>
    <w:p w14:paraId="223FF28F" w14:textId="77777777" w:rsidR="00430F11" w:rsidRPr="00430F11" w:rsidRDefault="00430F11" w:rsidP="00430F11">
      <w:pPr>
        <w:numPr>
          <w:ilvl w:val="0"/>
          <w:numId w:val="1"/>
        </w:numPr>
        <w:rPr>
          <w:b/>
          <w:bCs/>
          <w:sz w:val="28"/>
          <w:szCs w:val="28"/>
        </w:rPr>
      </w:pPr>
      <w:r w:rsidRPr="00430F11">
        <w:rPr>
          <w:b/>
          <w:bCs/>
          <w:sz w:val="28"/>
          <w:szCs w:val="28"/>
        </w:rPr>
        <w:t>ridefinizione delle tipologie di intervento edilizio;</w:t>
      </w:r>
    </w:p>
    <w:p w14:paraId="0A491804" w14:textId="77777777" w:rsidR="00430F11" w:rsidRPr="00430F11" w:rsidRDefault="00430F11" w:rsidP="00430F11">
      <w:pPr>
        <w:numPr>
          <w:ilvl w:val="0"/>
          <w:numId w:val="1"/>
        </w:numPr>
        <w:rPr>
          <w:b/>
          <w:bCs/>
          <w:sz w:val="28"/>
          <w:szCs w:val="28"/>
        </w:rPr>
      </w:pPr>
      <w:r w:rsidRPr="00430F11">
        <w:rPr>
          <w:b/>
          <w:bCs/>
          <w:sz w:val="28"/>
          <w:szCs w:val="28"/>
        </w:rPr>
        <w:t xml:space="preserve">semplificazione del rilascio e della formazione dei titoli; </w:t>
      </w:r>
    </w:p>
    <w:p w14:paraId="312B108B" w14:textId="77777777" w:rsidR="00430F11" w:rsidRPr="00430F11" w:rsidRDefault="00430F11" w:rsidP="00430F11">
      <w:pPr>
        <w:numPr>
          <w:ilvl w:val="0"/>
          <w:numId w:val="1"/>
        </w:numPr>
        <w:rPr>
          <w:b/>
          <w:bCs/>
          <w:sz w:val="28"/>
          <w:szCs w:val="28"/>
        </w:rPr>
      </w:pPr>
      <w:r w:rsidRPr="00430F11">
        <w:rPr>
          <w:b/>
          <w:bCs/>
          <w:sz w:val="28"/>
          <w:szCs w:val="28"/>
        </w:rPr>
        <w:t xml:space="preserve">semplificazione della normativa primaria e regionale. </w:t>
      </w:r>
    </w:p>
    <w:p w14:paraId="5C267C16" w14:textId="77777777" w:rsidR="00430F11" w:rsidRPr="00430F11" w:rsidRDefault="00430F11" w:rsidP="00430F11">
      <w:pPr>
        <w:rPr>
          <w:sz w:val="28"/>
          <w:szCs w:val="28"/>
        </w:rPr>
      </w:pPr>
      <w:r w:rsidRPr="00430F11">
        <w:rPr>
          <w:sz w:val="28"/>
          <w:szCs w:val="28"/>
        </w:rPr>
        <w:t xml:space="preserve">Le priorità indicate dagli stakeholder sono le priorità di questo Governo. I pilastri della delega che sto per illustrarvi rispondono direttamente a queste richieste che abbiamo recepito nello schema di legge delega che porteremo, come detto, nel prossimo </w:t>
      </w:r>
      <w:proofErr w:type="gramStart"/>
      <w:r w:rsidRPr="00430F11">
        <w:rPr>
          <w:sz w:val="28"/>
          <w:szCs w:val="28"/>
        </w:rPr>
        <w:t>Consiglio dei Ministri</w:t>
      </w:r>
      <w:proofErr w:type="gramEnd"/>
      <w:r w:rsidRPr="00430F11">
        <w:rPr>
          <w:sz w:val="28"/>
          <w:szCs w:val="28"/>
        </w:rPr>
        <w:t xml:space="preserve">. </w:t>
      </w:r>
    </w:p>
    <w:p w14:paraId="4B733ECB" w14:textId="77777777" w:rsidR="00430F11" w:rsidRPr="00430F11" w:rsidRDefault="00430F11" w:rsidP="00430F11">
      <w:pPr>
        <w:rPr>
          <w:sz w:val="28"/>
          <w:szCs w:val="28"/>
        </w:rPr>
      </w:pPr>
      <w:r w:rsidRPr="00430F11">
        <w:rPr>
          <w:sz w:val="28"/>
          <w:szCs w:val="28"/>
        </w:rPr>
        <w:t xml:space="preserve">In primo luogo, il disegno di legge delega non rappresenterà solo un'operazione di manutenzione normativa a carattere ricognitivo. L'obiettivo è predisporre </w:t>
      </w:r>
      <w:r w:rsidRPr="00430F11">
        <w:rPr>
          <w:b/>
          <w:bCs/>
          <w:sz w:val="28"/>
          <w:szCs w:val="28"/>
        </w:rPr>
        <w:t>un codice dell'edilizia e delle costruzioni</w:t>
      </w:r>
      <w:r w:rsidRPr="00430F11">
        <w:rPr>
          <w:sz w:val="28"/>
          <w:szCs w:val="28"/>
        </w:rPr>
        <w:t xml:space="preserve"> che superi l'obsolescenza strutturale dell'attuale sistema. Saprete evidentemente che nei suoi 24 anni di anzianità, il Testo unico dell'edilizia ha subìto, come è fisiologico che fosse, decine di interventi legislativi che lo hanno trasformato in un </w:t>
      </w:r>
      <w:r w:rsidRPr="00430F11">
        <w:rPr>
          <w:b/>
          <w:bCs/>
          <w:sz w:val="28"/>
          <w:szCs w:val="28"/>
        </w:rPr>
        <w:t>mosaico normativo disorganico</w:t>
      </w:r>
      <w:r w:rsidRPr="00430F11">
        <w:rPr>
          <w:sz w:val="28"/>
          <w:szCs w:val="28"/>
        </w:rPr>
        <w:t xml:space="preserve">, rendendone l'applicazione un esercizio di complessità per tutti, come un po’ accadeva per il vecchio Codice degli appalti, che infatti abbiamo aggiornato. Per questa ragione l'intervento che oggi vi presento rappresenta un vero e proprio </w:t>
      </w:r>
      <w:r w:rsidRPr="00430F11">
        <w:rPr>
          <w:b/>
          <w:bCs/>
          <w:sz w:val="28"/>
          <w:szCs w:val="28"/>
        </w:rPr>
        <w:t>cambio di paradigma</w:t>
      </w:r>
      <w:r w:rsidRPr="00430F11">
        <w:rPr>
          <w:sz w:val="28"/>
          <w:szCs w:val="28"/>
        </w:rPr>
        <w:t xml:space="preserve">. Il nuovo Codice dell'edilizia delle costruzioni dovrà sostituire integralmente il Testo unico dell'edilizia, incorporando anche altre discipline settoriali risalenti nel tempo, come quelle in materia di sicurezza delle costruzioni. Il nostro obiettivo è restituire al Paese un quadro normativo certo semplice e moderno, un testo omogeneo che sia leva strategica per la competitività e la modernizzazione del settore. In parallelo, segnalo che al Senato sta proseguendo l'esame del disegno di legge sulla rigenerazione urbana, che è un altro tassello fondamentale di questo progetto riformatore. I due provvedimenti, infatti, vanno da considerarsi complementari. Il codice dell'edilizia detterà le regole di base sul come costruire. Viceversa, il testo unificato all'esame del Senato chiarirà quali di questi interventi rientreranno nelle finalità della rigenerazione urbana, quali gli incentivi che potranno essere riconosciuti dagli enti territoriali e quale sarà la governance del settore. </w:t>
      </w:r>
    </w:p>
    <w:p w14:paraId="1F3CD3AE" w14:textId="77777777" w:rsidR="00430F11" w:rsidRPr="00430F11" w:rsidRDefault="00430F11" w:rsidP="00430F11">
      <w:pPr>
        <w:rPr>
          <w:sz w:val="28"/>
          <w:szCs w:val="28"/>
        </w:rPr>
      </w:pPr>
      <w:r w:rsidRPr="00430F11">
        <w:rPr>
          <w:sz w:val="28"/>
          <w:szCs w:val="28"/>
        </w:rPr>
        <w:t xml:space="preserve">Tornando alla legge delega, sulla base di queste premesse, passo a illustrarvi alcuni, non tutti evidentemente, dei pilastri strategici contenuti nella delega. </w:t>
      </w:r>
    </w:p>
    <w:p w14:paraId="7B917D32" w14:textId="77777777" w:rsidR="00430F11" w:rsidRPr="00430F11" w:rsidRDefault="00430F11" w:rsidP="00430F11">
      <w:pPr>
        <w:rPr>
          <w:sz w:val="40"/>
          <w:szCs w:val="40"/>
        </w:rPr>
      </w:pPr>
      <w:r w:rsidRPr="00430F11">
        <w:rPr>
          <w:b/>
          <w:bCs/>
          <w:sz w:val="40"/>
          <w:szCs w:val="40"/>
        </w:rPr>
        <w:t>Primo pilastro: le competenze Stato-Regioni.</w:t>
      </w:r>
      <w:r w:rsidRPr="00430F11">
        <w:rPr>
          <w:sz w:val="40"/>
          <w:szCs w:val="40"/>
        </w:rPr>
        <w:t xml:space="preserve"> </w:t>
      </w:r>
    </w:p>
    <w:p w14:paraId="177CCFD7" w14:textId="77777777" w:rsidR="00430F11" w:rsidRPr="00430F11" w:rsidRDefault="00430F11" w:rsidP="00430F11">
      <w:pPr>
        <w:rPr>
          <w:sz w:val="28"/>
          <w:szCs w:val="28"/>
        </w:rPr>
      </w:pPr>
      <w:r w:rsidRPr="00430F11">
        <w:rPr>
          <w:sz w:val="28"/>
          <w:szCs w:val="28"/>
        </w:rPr>
        <w:t xml:space="preserve">Il primo fondamentale obiettivo di questa delega è chiarire una volta per tutte gli ambiti di competenza statale e quelli di competenza regionale. Non si tratta di un tecnicismo giuridico, ma del nodo che ha afflitto la materia edilizia per quasi un quarto di secolo. L'attuale assetto normativo sconta un non chiara ripartizione delle competenze che ha generato sovrapposizioni normative, conflitti di attribuzione e, di conseguenza, una diffusa incertezza applicativa. </w:t>
      </w:r>
    </w:p>
    <w:p w14:paraId="2A3E3B81" w14:textId="77777777" w:rsidR="00430F11" w:rsidRPr="00430F11" w:rsidRDefault="00430F11" w:rsidP="00430F11">
      <w:pPr>
        <w:rPr>
          <w:sz w:val="28"/>
          <w:szCs w:val="28"/>
        </w:rPr>
      </w:pPr>
      <w:r w:rsidRPr="00430F11">
        <w:rPr>
          <w:sz w:val="28"/>
          <w:szCs w:val="28"/>
        </w:rPr>
        <w:t xml:space="preserve">Per comprendere la radice di questo problema dobbiamo fare un passo indietro guardando alla cronologia. Il Testo unico dell'edilizia, infatti, è stato approvato nel giugno 2001, mentre solo </w:t>
      </w:r>
      <w:r w:rsidRPr="00430F11">
        <w:rPr>
          <w:b/>
          <w:bCs/>
          <w:sz w:val="28"/>
          <w:szCs w:val="28"/>
        </w:rPr>
        <w:t>pochi mesi dopo, nell'ottobre dello stesso 2001, è entrata in vigore la legge costituzionale numero tre, ovverosia la riforma del Titolo Quinto.</w:t>
      </w:r>
      <w:r w:rsidRPr="00430F11">
        <w:rPr>
          <w:sz w:val="28"/>
          <w:szCs w:val="28"/>
        </w:rPr>
        <w:t xml:space="preserve"> </w:t>
      </w:r>
    </w:p>
    <w:p w14:paraId="307D99E2" w14:textId="77777777" w:rsidR="00430F11" w:rsidRPr="00430F11" w:rsidRDefault="00430F11" w:rsidP="00430F11">
      <w:pPr>
        <w:rPr>
          <w:sz w:val="28"/>
          <w:szCs w:val="28"/>
        </w:rPr>
      </w:pPr>
      <w:r w:rsidRPr="00430F11">
        <w:rPr>
          <w:sz w:val="28"/>
          <w:szCs w:val="28"/>
        </w:rPr>
        <w:t xml:space="preserve">Questo significa </w:t>
      </w:r>
      <w:r w:rsidRPr="00430F11">
        <w:rPr>
          <w:b/>
          <w:bCs/>
          <w:sz w:val="28"/>
          <w:szCs w:val="28"/>
        </w:rPr>
        <w:t>che il Testo unico è nato concettualmente vecchio,</w:t>
      </w:r>
      <w:r w:rsidRPr="00430F11">
        <w:rPr>
          <w:sz w:val="28"/>
          <w:szCs w:val="28"/>
        </w:rPr>
        <w:t xml:space="preserve"> è stato scritto e pensato interamente secondo il precedente riparto di competenze e si è trovato ad operare in un quadro costituzionale per i quali non era stato progettato. La riforma del Titolo Quinto, nel ridisegnare l'architettura delle competenze, ha invece definito il governo del territorio come materia di legislazione concorrente. Questo significa che allo Stato spetta la determinazione di principi fondamentali, mentre alle Regioni spetta la legislazione di dettaglio. Qui nasce il peccato originale del sistema vigente. Il Testo unico del 2001, essendo stato scritto prima, non ha mai specificato quali delle sue norme fossero principi fondamentali, quali fossero norme di dettaglio, ha creato di fatto un vuoto, un vuoto che le Regioni, nell'esercizio delle loro prerogative costituzionali, hanno dovuto riempire. </w:t>
      </w:r>
    </w:p>
    <w:p w14:paraId="5D853AA8" w14:textId="77777777" w:rsidR="00430F11" w:rsidRPr="00430F11" w:rsidRDefault="00430F11" w:rsidP="00430F11">
      <w:pPr>
        <w:rPr>
          <w:sz w:val="28"/>
          <w:szCs w:val="28"/>
        </w:rPr>
      </w:pPr>
      <w:r w:rsidRPr="00430F11">
        <w:rPr>
          <w:sz w:val="28"/>
          <w:szCs w:val="28"/>
        </w:rPr>
        <w:t xml:space="preserve">In assenza di una cornice chiara e definita da parte dello Stato, le amministrazioni regionali hanno legiferato per interpretare, adattare, spesso specificare quella disciplina statale ambigua. Questo ha portato inevitabilmente a un intricato groviglio di disposizioni, non per un eccesso di iniziativa regionale, ma per una carenza originaria di chiarezza da parte dello Stato. </w:t>
      </w:r>
    </w:p>
    <w:p w14:paraId="5B282AC7" w14:textId="77777777" w:rsidR="00430F11" w:rsidRPr="00430F11" w:rsidRDefault="00430F11" w:rsidP="00430F11">
      <w:pPr>
        <w:rPr>
          <w:sz w:val="28"/>
          <w:szCs w:val="28"/>
        </w:rPr>
      </w:pPr>
      <w:r w:rsidRPr="00430F11">
        <w:rPr>
          <w:sz w:val="28"/>
          <w:szCs w:val="28"/>
        </w:rPr>
        <w:t xml:space="preserve">Il risultato è un elevato numero di ricorsi dinanzi alla </w:t>
      </w:r>
      <w:proofErr w:type="gramStart"/>
      <w:r w:rsidRPr="00430F11">
        <w:rPr>
          <w:sz w:val="28"/>
          <w:szCs w:val="28"/>
        </w:rPr>
        <w:t>Corte Costituzionale</w:t>
      </w:r>
      <w:proofErr w:type="gramEnd"/>
      <w:r w:rsidRPr="00430F11">
        <w:rPr>
          <w:sz w:val="28"/>
          <w:szCs w:val="28"/>
        </w:rPr>
        <w:t xml:space="preserve">, ai tribunali amministrativi e spesso ad una paralisi degli investimenti dovuti all'incertezza. </w:t>
      </w:r>
    </w:p>
    <w:p w14:paraId="2EFDF5C7" w14:textId="77777777" w:rsidR="00430F11" w:rsidRPr="00430F11" w:rsidRDefault="00430F11" w:rsidP="00430F11">
      <w:pPr>
        <w:rPr>
          <w:sz w:val="28"/>
          <w:szCs w:val="28"/>
        </w:rPr>
      </w:pPr>
      <w:r w:rsidRPr="00430F11">
        <w:rPr>
          <w:sz w:val="28"/>
          <w:szCs w:val="28"/>
        </w:rPr>
        <w:t xml:space="preserve">La complessità, purtroppo, non si esaurisce qui. Il governo del territorio si interseca continuamente con altre materie che sono invece di competenza esclusiva dello Stato e come tali inderogabili. Penso all'ordinamento civile o alla tutela dell'ambiente, dell'ecosistema e dei beni culturali. </w:t>
      </w:r>
    </w:p>
    <w:p w14:paraId="5FCA92D5" w14:textId="77777777" w:rsidR="00430F11" w:rsidRPr="00430F11" w:rsidRDefault="00430F11" w:rsidP="00430F11">
      <w:pPr>
        <w:rPr>
          <w:sz w:val="28"/>
          <w:szCs w:val="28"/>
        </w:rPr>
      </w:pPr>
      <w:r w:rsidRPr="00430F11">
        <w:rPr>
          <w:sz w:val="28"/>
          <w:szCs w:val="28"/>
        </w:rPr>
        <w:t xml:space="preserve">Anche in questo caso il Testo unico dell'edilizia attuale non opera una distinzione chiara, rendendo difficile capire, ad esempio, dove finisce la norma edilizia e dove comincia quella ambientale. </w:t>
      </w:r>
    </w:p>
    <w:p w14:paraId="796FD06A" w14:textId="77777777" w:rsidR="00430F11" w:rsidRPr="00430F11" w:rsidRDefault="00430F11" w:rsidP="00430F11">
      <w:pPr>
        <w:rPr>
          <w:sz w:val="28"/>
          <w:szCs w:val="28"/>
        </w:rPr>
      </w:pPr>
      <w:r w:rsidRPr="00430F11">
        <w:rPr>
          <w:sz w:val="28"/>
          <w:szCs w:val="28"/>
        </w:rPr>
        <w:t xml:space="preserve">Infine, su questo quadro già complesso che vi ho delineato, si innesta la fondamentale disciplina dei </w:t>
      </w:r>
      <w:r w:rsidRPr="00430F11">
        <w:rPr>
          <w:b/>
          <w:bCs/>
          <w:sz w:val="28"/>
          <w:szCs w:val="28"/>
        </w:rPr>
        <w:t>Livelli essenziali delle prestazioni,</w:t>
      </w:r>
      <w:r w:rsidRPr="00430F11">
        <w:rPr>
          <w:sz w:val="28"/>
          <w:szCs w:val="28"/>
        </w:rPr>
        <w:t xml:space="preserve"> i LEP. </w:t>
      </w:r>
    </w:p>
    <w:p w14:paraId="519B66F2" w14:textId="77777777" w:rsidR="00430F11" w:rsidRPr="00430F11" w:rsidRDefault="00430F11" w:rsidP="00430F11">
      <w:pPr>
        <w:rPr>
          <w:sz w:val="28"/>
          <w:szCs w:val="28"/>
        </w:rPr>
      </w:pPr>
      <w:r w:rsidRPr="00430F11">
        <w:rPr>
          <w:sz w:val="28"/>
          <w:szCs w:val="28"/>
        </w:rPr>
        <w:t xml:space="preserve">Si tratta di </w:t>
      </w:r>
      <w:r w:rsidRPr="00430F11">
        <w:rPr>
          <w:b/>
          <w:bCs/>
          <w:sz w:val="28"/>
          <w:szCs w:val="28"/>
        </w:rPr>
        <w:t>un'altra competenza statale inderogabile,</w:t>
      </w:r>
      <w:r w:rsidRPr="00430F11">
        <w:rPr>
          <w:sz w:val="28"/>
          <w:szCs w:val="28"/>
        </w:rPr>
        <w:t xml:space="preserve"> volta a definire uno standard minimo di servizi e diritti che deve essere garantito uniformemente a tutti i cittadini. </w:t>
      </w:r>
    </w:p>
    <w:p w14:paraId="51C9363E" w14:textId="77777777" w:rsidR="00430F11" w:rsidRPr="00430F11" w:rsidRDefault="00430F11" w:rsidP="00430F11">
      <w:pPr>
        <w:rPr>
          <w:sz w:val="28"/>
          <w:szCs w:val="28"/>
        </w:rPr>
      </w:pPr>
      <w:r w:rsidRPr="00430F11">
        <w:rPr>
          <w:sz w:val="28"/>
          <w:szCs w:val="28"/>
        </w:rPr>
        <w:t xml:space="preserve">E su questo aspetto il disegno di legge delega intende coordinarsi con l'importante operazione di definizione e attuazione dei LEP promossa dal ministro Calderoli con il disegno di legge delega al Governo per la determinazione dei livelli essenziali delle prestazioni. </w:t>
      </w:r>
    </w:p>
    <w:p w14:paraId="2F32CAAE" w14:textId="77777777" w:rsidR="00430F11" w:rsidRPr="00430F11" w:rsidRDefault="00430F11" w:rsidP="00430F11">
      <w:pPr>
        <w:rPr>
          <w:sz w:val="28"/>
          <w:szCs w:val="28"/>
        </w:rPr>
      </w:pPr>
      <w:r w:rsidRPr="00430F11">
        <w:rPr>
          <w:sz w:val="28"/>
          <w:szCs w:val="28"/>
        </w:rPr>
        <w:t xml:space="preserve">Ecco perché questa delega rappresenta un totale cambio di paradigma. Lo strumento che la delega introduce è quello della </w:t>
      </w:r>
      <w:r w:rsidRPr="00430F11">
        <w:rPr>
          <w:b/>
          <w:bCs/>
          <w:sz w:val="28"/>
          <w:szCs w:val="28"/>
        </w:rPr>
        <w:t>qualificazione delle norme.</w:t>
      </w:r>
      <w:r w:rsidRPr="00430F11">
        <w:rPr>
          <w:sz w:val="28"/>
          <w:szCs w:val="28"/>
        </w:rPr>
        <w:t xml:space="preserve"> Per la prima volta si impone al governo di fare pulizia a monte, di prendere ogni singola disposizione del nuovo codice e apporvi un'etichetta. Se da un lato il Governo dovrà individuare, specificare quali norme sono adottate nell'esercizio della potestà esclusiva statale, dall'altro si impone al Governo di individuare espressamente quali disposizioni costituiscono i principi fondamentali della materia concorrente. Questa sarà la cornice certa entro cui le Regioni potranno legiferare nel dettaglio. </w:t>
      </w:r>
    </w:p>
    <w:p w14:paraId="4A964D1A" w14:textId="77777777" w:rsidR="00430F11" w:rsidRPr="00430F11" w:rsidRDefault="00430F11" w:rsidP="00430F11">
      <w:pPr>
        <w:rPr>
          <w:sz w:val="28"/>
          <w:szCs w:val="28"/>
        </w:rPr>
      </w:pPr>
      <w:r w:rsidRPr="00430F11">
        <w:rPr>
          <w:b/>
          <w:bCs/>
          <w:sz w:val="28"/>
          <w:szCs w:val="28"/>
        </w:rPr>
        <w:t>Questo intervento non è volto ovviamente a limitare l'autonomia regionale, ma, al contrario, a valorizzarla e renderla finalmente certa</w:t>
      </w:r>
      <w:r w:rsidRPr="00430F11">
        <w:rPr>
          <w:sz w:val="28"/>
          <w:szCs w:val="28"/>
        </w:rPr>
        <w:t xml:space="preserve">, fornendo quella chiara e univoca e univoca delimitazione dei confini che è mancata per vent'anni. Permetteremo finalmente alle Regioni, come da loro richiesto, di esercitare la propria potestà legislativa con sicurezza e senza il timore costante del contenzioso. È un'operazione di chiarezza che serve a tutti i cittadini, alle imprese, ai comuni, alle Regioni e agli operatori del settore. </w:t>
      </w:r>
    </w:p>
    <w:p w14:paraId="0318BAC3" w14:textId="77777777" w:rsidR="00430F11" w:rsidRPr="00430F11" w:rsidRDefault="00430F11" w:rsidP="00430F11">
      <w:pPr>
        <w:rPr>
          <w:b/>
          <w:bCs/>
          <w:sz w:val="40"/>
          <w:szCs w:val="40"/>
        </w:rPr>
      </w:pPr>
      <w:r w:rsidRPr="00430F11">
        <w:rPr>
          <w:b/>
          <w:bCs/>
          <w:sz w:val="40"/>
          <w:szCs w:val="40"/>
        </w:rPr>
        <w:t>Il secondo pilastro: il riordino delle categorie di intervento edilizio e dei titoli abilitativi</w:t>
      </w:r>
    </w:p>
    <w:p w14:paraId="66C175EC" w14:textId="77777777" w:rsidR="00430F11" w:rsidRPr="00430F11" w:rsidRDefault="00430F11" w:rsidP="00430F11">
      <w:pPr>
        <w:rPr>
          <w:sz w:val="28"/>
          <w:szCs w:val="28"/>
        </w:rPr>
      </w:pPr>
      <w:r w:rsidRPr="00430F11">
        <w:rPr>
          <w:sz w:val="28"/>
          <w:szCs w:val="28"/>
        </w:rPr>
        <w:t xml:space="preserve">Il secondo pilastro, altrettanto cruciale, del disegno di legge delega affronta un problema che forse più di ogni altro genera frustrazione, contenzioso e paralisi. La confusione tra le categorie di intervento edilizio e i titoli abilitativi necessari per realizzarle. Oggi, come questa commissione sa bene, un cittadino o un professionista che deve avviare un lavoro si trova davanti a un vero e proprio calvario interpretativo. Partiamo dagli esempi molto concreti che durante le riunioni al Ministero ci hanno fatto gli operatori. Se devo rifare il bagno senza spostare muri, cosa mi serve? Se sposto un tramezzo, cosa mi serve? Se spostando quel tramezzo tocco una parte strutturale, come mi devo comportare? Se voglio rifare il tetto, magari alzandolo di venti centimetri per migliorare l'efficienza energetica, come mi devo comportare? Oggi la scelta del titolo corretto - se basta una CILA, se serve una SCIA o magari la cosiddetta super SCIA, la SCIA alternativa al permesso di costruire - è diventata un'autentica questione di interpretazione giuridica. </w:t>
      </w:r>
    </w:p>
    <w:p w14:paraId="26D5C996" w14:textId="77777777" w:rsidR="00430F11" w:rsidRPr="00430F11" w:rsidRDefault="00430F11" w:rsidP="00430F11">
      <w:pPr>
        <w:rPr>
          <w:sz w:val="28"/>
          <w:szCs w:val="28"/>
        </w:rPr>
      </w:pPr>
      <w:r w:rsidRPr="00430F11">
        <w:rPr>
          <w:sz w:val="28"/>
          <w:szCs w:val="28"/>
        </w:rPr>
        <w:t xml:space="preserve">Il problema nasce dalle definizioni che usiamo. Il testo unico attuale, infatti, ci parla di manutenzione straordinaria, restauro e risanamento conservativo, ristrutturazione edilizia, ma lo fa con definizioni che rimangono purtroppo ambigue. I confini tra queste categorie sono labili. Il discrimine, ad esempio, tra una ristrutturazione cosiddetta pesante, una </w:t>
      </w:r>
      <w:proofErr w:type="spellStart"/>
      <w:r w:rsidRPr="00430F11">
        <w:rPr>
          <w:sz w:val="28"/>
          <w:szCs w:val="28"/>
        </w:rPr>
        <w:t>demoricostruzione</w:t>
      </w:r>
      <w:proofErr w:type="spellEnd"/>
      <w:r w:rsidRPr="00430F11">
        <w:rPr>
          <w:sz w:val="28"/>
          <w:szCs w:val="28"/>
        </w:rPr>
        <w:t xml:space="preserve">, e una nuova costruzione è spesso così incerto da essere lasciato alla discrezionalità del singolo ufficio tecnico o, spesso, alla sentenza di un TAR. Questa confusione, oltre a essere un problema burocratico, alimenta infatti un vastissimo contenzioso e genera un'inaccettabile incertezza operativa che frena gli investimenti e scoraggia persino i più piccoli interventi di miglioramento. Per questo motivo la delega che stiamo predisponendo interviene in modo organico, come un medico che cura non solo il sintomo, ma rimuove la causa a monte della malattia. </w:t>
      </w:r>
    </w:p>
    <w:p w14:paraId="72A34AB8" w14:textId="77777777" w:rsidR="00430F11" w:rsidRPr="00430F11" w:rsidRDefault="00430F11" w:rsidP="00430F11">
      <w:pPr>
        <w:rPr>
          <w:b/>
          <w:bCs/>
          <w:sz w:val="40"/>
          <w:szCs w:val="40"/>
        </w:rPr>
      </w:pPr>
      <w:r w:rsidRPr="00430F11">
        <w:rPr>
          <w:b/>
          <w:bCs/>
          <w:sz w:val="40"/>
          <w:szCs w:val="40"/>
        </w:rPr>
        <w:t>Le tre fasi logiche e consequenziali</w:t>
      </w:r>
    </w:p>
    <w:p w14:paraId="7D765CC4" w14:textId="77777777" w:rsidR="00430F11" w:rsidRPr="00430F11" w:rsidRDefault="00430F11" w:rsidP="00430F11">
      <w:pPr>
        <w:rPr>
          <w:sz w:val="28"/>
          <w:szCs w:val="28"/>
        </w:rPr>
      </w:pPr>
      <w:r w:rsidRPr="00430F11">
        <w:rPr>
          <w:sz w:val="28"/>
          <w:szCs w:val="28"/>
        </w:rPr>
        <w:t xml:space="preserve">Lo faremo con tre fasi logiche e consequenziali. </w:t>
      </w:r>
    </w:p>
    <w:p w14:paraId="40D1C902" w14:textId="77777777" w:rsidR="00430F11" w:rsidRPr="00430F11" w:rsidRDefault="00430F11" w:rsidP="00430F11">
      <w:pPr>
        <w:rPr>
          <w:sz w:val="28"/>
          <w:szCs w:val="28"/>
        </w:rPr>
      </w:pPr>
      <w:r w:rsidRPr="00430F11">
        <w:rPr>
          <w:sz w:val="28"/>
          <w:szCs w:val="28"/>
        </w:rPr>
        <w:t xml:space="preserve">La prima fase: imporre un riordino complessivo delle categorie di intervento edilizio con nuovo codice. Non ci si baserà più su definizioni letterarie che si prestano a mille interpretazioni. La delega ci imporrà di usare parametri misurabili. Qual è la rilevanza dell'intervento, qual è la sua natura e soprattutto qual è il reale impatto urbanistico </w:t>
      </w:r>
      <w:proofErr w:type="gramStart"/>
      <w:r w:rsidRPr="00430F11">
        <w:rPr>
          <w:sz w:val="28"/>
          <w:szCs w:val="28"/>
        </w:rPr>
        <w:t>ed</w:t>
      </w:r>
      <w:proofErr w:type="gramEnd"/>
      <w:r w:rsidRPr="00430F11">
        <w:rPr>
          <w:sz w:val="28"/>
          <w:szCs w:val="28"/>
        </w:rPr>
        <w:t xml:space="preserve"> edilizio che quell'opera genera sul territorio? Vogliamo distinguere con chiarezza, ad esempio, tra un intervento che si limita a trasformare il patrimonio edilizio esistente </w:t>
      </w:r>
      <w:proofErr w:type="gramStart"/>
      <w:r w:rsidRPr="00430F11">
        <w:rPr>
          <w:sz w:val="28"/>
          <w:szCs w:val="28"/>
        </w:rPr>
        <w:t>e  un</w:t>
      </w:r>
      <w:proofErr w:type="gramEnd"/>
      <w:r w:rsidRPr="00430F11">
        <w:rPr>
          <w:sz w:val="28"/>
          <w:szCs w:val="28"/>
        </w:rPr>
        <w:t xml:space="preserve"> intervento che invece comporta una modificazione permanente del suolo edificato. L'obiettivo è fornire definizioni chiare che eliminano alla radice le ambiguità attuali. </w:t>
      </w:r>
    </w:p>
    <w:p w14:paraId="4B192AAB" w14:textId="77777777" w:rsidR="00430F11" w:rsidRPr="00430F11" w:rsidRDefault="00430F11" w:rsidP="00430F11">
      <w:pPr>
        <w:rPr>
          <w:sz w:val="28"/>
          <w:szCs w:val="28"/>
        </w:rPr>
      </w:pPr>
      <w:r w:rsidRPr="00430F11">
        <w:rPr>
          <w:sz w:val="28"/>
          <w:szCs w:val="28"/>
        </w:rPr>
        <w:t xml:space="preserve">Secondo aspetto: definire chiaramente cosa si sta facendo non è sufficiente, bisogna chiarire come farlo. È qui che interviene il passaggio successivo, il cuore della semplificazione previsto in delega, la razionalizzazione del riordino della disciplina dei titoli abilitativi. Cosa significa? Significa che dopo aver definito con certezza le categorie di intervento, il governo dovrà procedere all'individuazione puntuale dei titoli associati a ogni categoria individuato. L'obiettivo è semplice: a ogni intervento definito in modo certo dovrà corrispondere il relativo titolo abilitativo, eliminando così le attuali zone grigie interpretative, dando finalmente certezza ai procedimenti. Il professionista e il cittadino non dovranno più interpretare, dovranno solo applicare. </w:t>
      </w:r>
    </w:p>
    <w:p w14:paraId="1F86ACE7" w14:textId="77777777" w:rsidR="00430F11" w:rsidRPr="00430F11" w:rsidRDefault="00430F11" w:rsidP="00430F11">
      <w:pPr>
        <w:rPr>
          <w:b/>
          <w:bCs/>
          <w:sz w:val="40"/>
          <w:szCs w:val="40"/>
        </w:rPr>
      </w:pPr>
      <w:r w:rsidRPr="00430F11">
        <w:rPr>
          <w:b/>
          <w:bCs/>
          <w:sz w:val="40"/>
          <w:szCs w:val="40"/>
        </w:rPr>
        <w:t>La semplificazione per il rilascio dei titoli</w:t>
      </w:r>
    </w:p>
    <w:p w14:paraId="0CA3D809" w14:textId="77777777" w:rsidR="00430F11" w:rsidRPr="00430F11" w:rsidRDefault="00430F11" w:rsidP="00430F11">
      <w:pPr>
        <w:rPr>
          <w:sz w:val="28"/>
          <w:szCs w:val="28"/>
        </w:rPr>
      </w:pPr>
      <w:r w:rsidRPr="00430F11">
        <w:rPr>
          <w:sz w:val="28"/>
          <w:szCs w:val="28"/>
        </w:rPr>
        <w:t xml:space="preserve">Infine, la delega si spinge oltre. Non è sufficiente sapere con certezza quale titolo serve. È necessario anche che il percorso per ottenerlo sia rapido, efficiente e non più farraginoso. Per far questo si deve tener conto del principio di proporzionalità, il peso della burocrazia. </w:t>
      </w:r>
    </w:p>
    <w:p w14:paraId="04A39B01" w14:textId="77777777" w:rsidR="00430F11" w:rsidRPr="00430F11" w:rsidRDefault="00430F11" w:rsidP="00430F11">
      <w:pPr>
        <w:rPr>
          <w:sz w:val="28"/>
          <w:szCs w:val="28"/>
        </w:rPr>
      </w:pPr>
      <w:r w:rsidRPr="00430F11">
        <w:rPr>
          <w:sz w:val="28"/>
          <w:szCs w:val="28"/>
        </w:rPr>
        <w:t xml:space="preserve">I documenti richiesti e i tempi di attesa dovranno essere proporzionati all'importanza e all'impatto dell'intervento che si intende eseguire. </w:t>
      </w:r>
      <w:r w:rsidRPr="00430F11">
        <w:rPr>
          <w:b/>
          <w:bCs/>
          <w:sz w:val="28"/>
          <w:szCs w:val="28"/>
        </w:rPr>
        <w:t>Non è pensabile, infatti, come purtroppo accade oggi, che per un intervento minore un cittadino debba affrontare un iter istruttorio complesso e oneroso quasi quanto quello necessario per una nuova costruzione.</w:t>
      </w:r>
      <w:r w:rsidRPr="00430F11">
        <w:rPr>
          <w:sz w:val="28"/>
          <w:szCs w:val="28"/>
        </w:rPr>
        <w:t xml:space="preserve"> Inoltre, non è possibile immaginare che i tempi per ottenere una risposta dell'amministrazione restino incerti. </w:t>
      </w:r>
    </w:p>
    <w:p w14:paraId="137E1EA7" w14:textId="77777777" w:rsidR="00430F11" w:rsidRPr="00430F11" w:rsidRDefault="00430F11" w:rsidP="00430F11">
      <w:pPr>
        <w:rPr>
          <w:sz w:val="28"/>
          <w:szCs w:val="28"/>
        </w:rPr>
      </w:pPr>
      <w:r w:rsidRPr="00430F11">
        <w:rPr>
          <w:sz w:val="28"/>
          <w:szCs w:val="28"/>
        </w:rPr>
        <w:t xml:space="preserve">Per questo la delega completa il quadro, imponendo al governo una profonda semplificazione, razionalizzazione e non duplicazione dei procedimenti amministrativi. Questo significa concretamente riduzione degli adempimenti e degli oneri e degli oneri documentali gravanti sui cittadini. Un coordinamento più efficace tra le diverse amministrazioni interessate penso alle sovrintendenze per evitare i veti incrociati e rimpalli di responsabilità. </w:t>
      </w:r>
      <w:proofErr w:type="gramStart"/>
      <w:r w:rsidRPr="00430F11">
        <w:rPr>
          <w:sz w:val="28"/>
          <w:szCs w:val="28"/>
        </w:rPr>
        <w:t>Infine</w:t>
      </w:r>
      <w:proofErr w:type="gramEnd"/>
      <w:r w:rsidRPr="00430F11">
        <w:rPr>
          <w:sz w:val="28"/>
          <w:szCs w:val="28"/>
        </w:rPr>
        <w:t xml:space="preserve"> una riduzione dei termini per il rilascio dei provvedimenti. Soprattutto significa </w:t>
      </w:r>
      <w:r w:rsidRPr="00430F11">
        <w:rPr>
          <w:b/>
          <w:bCs/>
          <w:sz w:val="28"/>
          <w:szCs w:val="28"/>
        </w:rPr>
        <w:t xml:space="preserve">rafforzare quei meccanismi come il silenzio assenso o il silenzio evolutivo </w:t>
      </w:r>
      <w:r w:rsidRPr="00430F11">
        <w:rPr>
          <w:sz w:val="28"/>
          <w:szCs w:val="28"/>
        </w:rPr>
        <w:t xml:space="preserve">che danno certezza temporale a chi investe. </w:t>
      </w:r>
    </w:p>
    <w:p w14:paraId="686AA35D" w14:textId="77777777" w:rsidR="00430F11" w:rsidRPr="00430F11" w:rsidRDefault="00430F11" w:rsidP="00430F11">
      <w:pPr>
        <w:rPr>
          <w:sz w:val="28"/>
          <w:szCs w:val="28"/>
        </w:rPr>
      </w:pPr>
      <w:r w:rsidRPr="00430F11">
        <w:rPr>
          <w:sz w:val="28"/>
          <w:szCs w:val="28"/>
        </w:rPr>
        <w:t xml:space="preserve">In sintesi, l'obiettivo è un sistema integrato definizioni chiare, associazione univoca dei titoli e procedure di rilascio semplici e proporzionate. Questa è la risposta strutturale che cittadini e imprese attendono. </w:t>
      </w:r>
    </w:p>
    <w:p w14:paraId="5E0A178D" w14:textId="77777777" w:rsidR="00430F11" w:rsidRPr="00430F11" w:rsidRDefault="00430F11" w:rsidP="00430F11">
      <w:pPr>
        <w:rPr>
          <w:sz w:val="28"/>
          <w:szCs w:val="28"/>
        </w:rPr>
      </w:pPr>
      <w:r w:rsidRPr="00430F11">
        <w:rPr>
          <w:sz w:val="28"/>
          <w:szCs w:val="28"/>
        </w:rPr>
        <w:t xml:space="preserve">Come ho illustrato, il Governo si appresta a varare un disegno di legge delega che condivide profondamente gli stessi obiettivi, la stessa diagnosi che animano anche diverse proposte di legge cito la proposta di legge 2332 Mazzetti recante delega al Governo per il riordino e il coordinamento della disciplina legislativa in materia edilizia. È condivisa la necessità di superare l'obsolescenza strutturale del Testo unico del 2001, la volontà di chiarire definitivamente i rapporti tra Stato e Regioni e l'esigenza di semplificare la vita a cittadini e imprese. </w:t>
      </w:r>
    </w:p>
    <w:p w14:paraId="44366439" w14:textId="77777777" w:rsidR="00430F11" w:rsidRPr="00430F11" w:rsidRDefault="00430F11" w:rsidP="00430F11">
      <w:pPr>
        <w:rPr>
          <w:b/>
          <w:bCs/>
          <w:sz w:val="40"/>
          <w:szCs w:val="40"/>
        </w:rPr>
      </w:pPr>
      <w:r w:rsidRPr="00430F11">
        <w:rPr>
          <w:b/>
          <w:bCs/>
          <w:sz w:val="40"/>
          <w:szCs w:val="40"/>
        </w:rPr>
        <w:t>Dialogo con il Parlamento</w:t>
      </w:r>
    </w:p>
    <w:p w14:paraId="75AFBD0A" w14:textId="77777777" w:rsidR="00430F11" w:rsidRPr="00430F11" w:rsidRDefault="00430F11" w:rsidP="00430F11">
      <w:pPr>
        <w:rPr>
          <w:sz w:val="28"/>
          <w:szCs w:val="28"/>
        </w:rPr>
      </w:pPr>
      <w:r w:rsidRPr="00430F11">
        <w:rPr>
          <w:sz w:val="28"/>
          <w:szCs w:val="28"/>
        </w:rPr>
        <w:t xml:space="preserve">La presenza oggi qui del Governo non è formale, ma è a testimonianza della volontà di lavorare in piena sinergia degli strumenti accennati. </w:t>
      </w:r>
      <w:r w:rsidRPr="00430F11">
        <w:rPr>
          <w:b/>
          <w:bCs/>
          <w:sz w:val="28"/>
          <w:szCs w:val="28"/>
        </w:rPr>
        <w:t>La convergenza di intenti tra l'iniziativa parlamentare e quella governativa è un'occasione per accelerare il processo di riforma. Vi assicuro quindi, fin da ora la massima disponibilità del Governo a un dialogo costruttivo sul tema, tenendo nella massima considerazione le linee di indirizzo, le riflessioni e i contributi che emergeranno dai lavori di questa Commissione sul testo di iniziativa parlamentare.</w:t>
      </w:r>
      <w:r w:rsidRPr="00430F11">
        <w:rPr>
          <w:sz w:val="28"/>
          <w:szCs w:val="28"/>
        </w:rPr>
        <w:t xml:space="preserve"> L'obiettivo comune, infatti, è arrivare nel più breve tempo possibile a un quadro normativo che sia la sintesi migliore delle sensibilità di Parlamento ed Esecutivo per consegnare finalmente al Paese quel codice dell'edilizia moderna chiara ed efficiente cui tutti tendiamo. </w:t>
      </w:r>
    </w:p>
    <w:p w14:paraId="71F41CC5" w14:textId="77777777" w:rsidR="00430F11" w:rsidRPr="00430F11" w:rsidRDefault="00430F11" w:rsidP="00430F11">
      <w:pPr>
        <w:rPr>
          <w:b/>
          <w:bCs/>
          <w:sz w:val="40"/>
          <w:szCs w:val="40"/>
        </w:rPr>
      </w:pPr>
      <w:r w:rsidRPr="00430F11">
        <w:rPr>
          <w:b/>
          <w:bCs/>
          <w:sz w:val="40"/>
          <w:szCs w:val="40"/>
        </w:rPr>
        <w:t>L’obiettivo della semplificazione è dare una casa a tutti i cittadini</w:t>
      </w:r>
    </w:p>
    <w:p w14:paraId="6FCA43C2" w14:textId="3D00A063" w:rsidR="00430F11" w:rsidRPr="00430F11" w:rsidRDefault="00430F11" w:rsidP="00430F11">
      <w:pPr>
        <w:rPr>
          <w:sz w:val="28"/>
          <w:szCs w:val="28"/>
        </w:rPr>
      </w:pPr>
      <w:r w:rsidRPr="00430F11">
        <w:rPr>
          <w:sz w:val="28"/>
          <w:szCs w:val="28"/>
        </w:rPr>
        <w:t xml:space="preserve">Ora una riflessione anche politica, ovviamente, visto che la politica è il cuore della nostra azione, perché abbiamo dedicato e stiamo dedicando tante energie a questo nuovo Codice, alla chiarezza dei titoli, alla semplificazione? Perché siamo profondamente convinti che un'azione sulle regole edilizie non sia un mero esercizio tecnico fine a </w:t>
      </w:r>
      <w:proofErr w:type="gramStart"/>
      <w:r w:rsidRPr="00430F11">
        <w:rPr>
          <w:sz w:val="28"/>
          <w:szCs w:val="28"/>
        </w:rPr>
        <w:t>se</w:t>
      </w:r>
      <w:proofErr w:type="gramEnd"/>
      <w:r w:rsidRPr="00430F11">
        <w:rPr>
          <w:sz w:val="28"/>
          <w:szCs w:val="28"/>
        </w:rPr>
        <w:t xml:space="preserve"> stesso, ma, al contrario, il presupposto indispensabile per sbloccare la politica più importante, quella che tocca più da vicino la vita delle persone, la politica per la casa. Non possiamo parlare seriamente di aumentare l'offerta di alloggi se poi le norme per costruire, recuperare o rigenerare quel patrimonio permangono confuse, lente e incerte. Non possiamo dare risposte alle famiglie se i loro immobili, il frutto di sacrifici di una vita, restano bloccati da una burocrazia ai più incomprensibile. La questione abitativa, infatti, è una delle più urgenti e sentite dai cittadini. Non parliamo solo di mattoni, ma di dignità, di sicurezza, di futuro e di contesto. La casa è il primo presidio sociale, il luogo dove si costruisce la vita, dove si cresce una famiglia dove si sogna.</w:t>
      </w:r>
    </w:p>
    <w:sectPr w:rsidR="00430F11" w:rsidRPr="00430F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54085"/>
    <w:multiLevelType w:val="hybridMultilevel"/>
    <w:tmpl w:val="4F480A42"/>
    <w:lvl w:ilvl="0" w:tplc="02B090B0">
      <w:start w:val="1"/>
      <w:numFmt w:val="decimal"/>
      <w:lvlText w:val="%1."/>
      <w:lvlJc w:val="left"/>
      <w:pPr>
        <w:ind w:left="800" w:hanging="44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5160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11"/>
    <w:rsid w:val="003B7791"/>
    <w:rsid w:val="00430F11"/>
    <w:rsid w:val="004E32A1"/>
    <w:rsid w:val="00AB5F2C"/>
    <w:rsid w:val="00E7221B"/>
    <w:rsid w:val="00F924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4641"/>
  <w15:chartTrackingRefBased/>
  <w15:docId w15:val="{258D28C9-3430-47CB-A162-3881A7BF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30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30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30F1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30F1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30F1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30F1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30F1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30F1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30F1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30F1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30F1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30F1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30F1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30F1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30F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30F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30F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30F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430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30F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30F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30F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30F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30F11"/>
    <w:rPr>
      <w:i/>
      <w:iCs/>
      <w:color w:val="404040" w:themeColor="text1" w:themeTint="BF"/>
    </w:rPr>
  </w:style>
  <w:style w:type="paragraph" w:styleId="Paragrafoelenco">
    <w:name w:val="List Paragraph"/>
    <w:basedOn w:val="Normale"/>
    <w:uiPriority w:val="34"/>
    <w:qFormat/>
    <w:rsid w:val="00430F11"/>
    <w:pPr>
      <w:ind w:left="720"/>
      <w:contextualSpacing/>
    </w:pPr>
  </w:style>
  <w:style w:type="character" w:styleId="Enfasiintensa">
    <w:name w:val="Intense Emphasis"/>
    <w:basedOn w:val="Carpredefinitoparagrafo"/>
    <w:uiPriority w:val="21"/>
    <w:qFormat/>
    <w:rsid w:val="00430F11"/>
    <w:rPr>
      <w:i/>
      <w:iCs/>
      <w:color w:val="0F4761" w:themeColor="accent1" w:themeShade="BF"/>
    </w:rPr>
  </w:style>
  <w:style w:type="paragraph" w:styleId="Citazioneintensa">
    <w:name w:val="Intense Quote"/>
    <w:basedOn w:val="Normale"/>
    <w:next w:val="Normale"/>
    <w:link w:val="CitazioneintensaCarattere"/>
    <w:uiPriority w:val="30"/>
    <w:qFormat/>
    <w:rsid w:val="00430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30F11"/>
    <w:rPr>
      <w:i/>
      <w:iCs/>
      <w:color w:val="0F4761" w:themeColor="accent1" w:themeShade="BF"/>
    </w:rPr>
  </w:style>
  <w:style w:type="character" w:styleId="Riferimentointenso">
    <w:name w:val="Intense Reference"/>
    <w:basedOn w:val="Carpredefinitoparagrafo"/>
    <w:uiPriority w:val="32"/>
    <w:qFormat/>
    <w:rsid w:val="00430F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3675</Words>
  <Characters>20951</Characters>
  <Application>Microsoft Office Word</Application>
  <DocSecurity>0</DocSecurity>
  <Lines>174</Lines>
  <Paragraphs>49</Paragraphs>
  <ScaleCrop>false</ScaleCrop>
  <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Santilli</dc:creator>
  <cp:keywords/>
  <dc:description/>
  <cp:lastModifiedBy>Giorgio Santilli</cp:lastModifiedBy>
  <cp:revision>1</cp:revision>
  <dcterms:created xsi:type="dcterms:W3CDTF">2025-11-16T23:42:00Z</dcterms:created>
  <dcterms:modified xsi:type="dcterms:W3CDTF">2025-11-16T23:47:00Z</dcterms:modified>
</cp:coreProperties>
</file>