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0494C673"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settimana </w:t>
      </w:r>
      <w:r w:rsidR="0032700D">
        <w:rPr>
          <w:b/>
          <w:bCs/>
          <w:color w:val="auto"/>
          <w:sz w:val="22"/>
          <w:szCs w:val="22"/>
        </w:rPr>
        <w:t>01</w:t>
      </w:r>
      <w:r w:rsidR="0040469C">
        <w:rPr>
          <w:b/>
          <w:bCs/>
          <w:color w:val="auto"/>
          <w:sz w:val="22"/>
          <w:szCs w:val="22"/>
        </w:rPr>
        <w:t>-</w:t>
      </w:r>
      <w:r w:rsidR="0032700D">
        <w:rPr>
          <w:b/>
          <w:bCs/>
          <w:color w:val="auto"/>
          <w:sz w:val="22"/>
          <w:szCs w:val="22"/>
        </w:rPr>
        <w:t>07</w:t>
      </w:r>
      <w:r w:rsidR="0040469C">
        <w:rPr>
          <w:b/>
          <w:bCs/>
          <w:color w:val="auto"/>
          <w:sz w:val="22"/>
          <w:szCs w:val="22"/>
        </w:rPr>
        <w:t xml:space="preserve"> </w:t>
      </w:r>
      <w:r w:rsidR="00A6502B">
        <w:rPr>
          <w:b/>
          <w:bCs/>
          <w:color w:val="auto"/>
          <w:sz w:val="22"/>
          <w:szCs w:val="22"/>
        </w:rPr>
        <w:t>novembre</w:t>
      </w:r>
      <w:r w:rsidR="00801014" w:rsidRPr="00CE3A09">
        <w:rPr>
          <w:b/>
          <w:bCs/>
          <w:color w:val="auto"/>
          <w:sz w:val="22"/>
          <w:szCs w:val="22"/>
        </w:rPr>
        <w:t xml:space="preserve"> </w:t>
      </w:r>
      <w:r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A12EAB">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453A41">
        <w:trPr>
          <w:trHeight w:val="567"/>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32700D" w:rsidRPr="00CE3A09" w14:paraId="002C4510" w14:textId="77777777" w:rsidTr="00A12EAB">
        <w:trPr>
          <w:trHeight w:val="68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626E0D04"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Roma</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2B4A112F"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31.646.571,33</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3DBA096A"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10/12/2025</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433705DD"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Ministero della Cultura</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017C6043"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Servizi per la gestione integrata e centralizzata delle attività e degli adempimenti in materia di salute e sicurezza sui luoghi di lavoro per tutte le sedi del MIC, incluse le sedi del Comando Carabinieri-Nucleo Tutela Patrimonio Culturale - RFQ_3776</w:t>
            </w:r>
          </w:p>
        </w:tc>
      </w:tr>
      <w:tr w:rsidR="0032700D" w:rsidRPr="00CE3A09" w14:paraId="6F0ED491"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6CF36FE7"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1FAF4D84"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9.800.000,00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095A7E1C"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25/11/2025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4A0E38A6"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 xml:space="preserve">Sogesid </w:t>
            </w:r>
            <w:r>
              <w:rPr>
                <w:rFonts w:ascii="Calibri" w:hAnsi="Calibri" w:cs="Calibri"/>
                <w:sz w:val="20"/>
                <w:szCs w:val="20"/>
              </w:rPr>
              <w:t>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63D9DD95"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Accordo Quadro con più operatori economici, attività specialistiche attinenti ai servizi di ingegneria ed architettura di talune opere - Codici Commesse:PR000001-PUG401; PR000024-PUG2101; PR000048-PUG2005; PR000505-MAR2401; PR000306-RAVDRAG; PR000311-VEN2202; PR000297-PUG2201; PR000302-ORT-ELETTR; PR000310_VEN2201; PR000325-PUG2202; PR000403-PUG2301; PR000409 VEN2301; PR000422-MOL2301; PR000455-PUGBAF; PR000465-PUGMANF. nonché le altre ulteriori commesse in corso di perfezionamento</w:t>
            </w:r>
          </w:p>
        </w:tc>
      </w:tr>
      <w:tr w:rsidR="0032700D" w:rsidRPr="00CE3A09" w14:paraId="04DB759A"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32700D" w:rsidRPr="009F490F" w:rsidRDefault="0032700D" w:rsidP="0032700D">
            <w:pPr>
              <w:spacing w:after="0" w:line="240" w:lineRule="auto"/>
              <w:jc w:val="center"/>
              <w:rPr>
                <w:rFonts w:cstheme="minorHAnsi"/>
                <w:b/>
                <w:bCs/>
                <w:sz w:val="20"/>
                <w:szCs w:val="20"/>
              </w:rPr>
            </w:pPr>
            <w:r w:rsidRPr="009F490F">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5373FC05" w:rsidR="0032700D" w:rsidRPr="0032700D" w:rsidRDefault="0032700D" w:rsidP="0032700D">
            <w:pPr>
              <w:spacing w:after="0" w:line="240" w:lineRule="auto"/>
              <w:rPr>
                <w:rFonts w:cstheme="minorHAnsi"/>
                <w:sz w:val="20"/>
                <w:szCs w:val="20"/>
              </w:rPr>
            </w:pPr>
            <w:r w:rsidRPr="0032700D">
              <w:rPr>
                <w:rFonts w:ascii="Calibri" w:hAnsi="Calibri" w:cs="Calibri"/>
                <w:sz w:val="20"/>
                <w:szCs w:val="20"/>
              </w:rPr>
              <w:t>Udine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20875D15" w:rsidR="0032700D" w:rsidRPr="0032700D" w:rsidRDefault="0032700D" w:rsidP="0032700D">
            <w:pPr>
              <w:spacing w:after="0" w:line="240" w:lineRule="auto"/>
              <w:rPr>
                <w:rFonts w:cstheme="minorHAnsi"/>
                <w:sz w:val="20"/>
                <w:szCs w:val="20"/>
              </w:rPr>
            </w:pPr>
            <w:r w:rsidRPr="0032700D">
              <w:rPr>
                <w:rFonts w:ascii="Calibri" w:hAnsi="Calibri" w:cs="Calibri"/>
                <w:sz w:val="20"/>
                <w:szCs w:val="20"/>
              </w:rPr>
              <w:t>2.295.081,97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29F65515" w:rsidR="0032700D" w:rsidRPr="0032700D" w:rsidRDefault="0032700D" w:rsidP="0032700D">
            <w:pPr>
              <w:spacing w:after="0" w:line="240" w:lineRule="auto"/>
              <w:rPr>
                <w:rFonts w:cstheme="minorHAnsi"/>
                <w:sz w:val="20"/>
                <w:szCs w:val="20"/>
              </w:rPr>
            </w:pPr>
            <w:r w:rsidRPr="0032700D">
              <w:rPr>
                <w:rFonts w:ascii="Calibri" w:hAnsi="Calibri" w:cs="Calibri"/>
                <w:sz w:val="20"/>
                <w:szCs w:val="20"/>
              </w:rPr>
              <w:t>05/12/2025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7D410E7B" w:rsidR="0032700D" w:rsidRPr="0032700D" w:rsidRDefault="0032700D" w:rsidP="0032700D">
            <w:pPr>
              <w:spacing w:after="0" w:line="240" w:lineRule="auto"/>
              <w:rPr>
                <w:rFonts w:cstheme="minorHAnsi"/>
                <w:sz w:val="20"/>
                <w:szCs w:val="20"/>
              </w:rPr>
            </w:pPr>
            <w:r w:rsidRPr="0032700D">
              <w:rPr>
                <w:rFonts w:ascii="Calibri" w:hAnsi="Calibri" w:cs="Calibri"/>
                <w:sz w:val="20"/>
                <w:szCs w:val="20"/>
              </w:rPr>
              <w:t>Regione Autonoma Friuli Venezia Giulia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2DDB611E" w:rsidR="0032700D" w:rsidRPr="0032700D" w:rsidRDefault="0032700D" w:rsidP="0032700D">
            <w:pPr>
              <w:spacing w:after="0" w:line="240" w:lineRule="auto"/>
              <w:rPr>
                <w:rFonts w:cstheme="minorHAnsi"/>
                <w:sz w:val="20"/>
                <w:szCs w:val="20"/>
              </w:rPr>
            </w:pPr>
            <w:r w:rsidRPr="0032700D">
              <w:rPr>
                <w:rFonts w:ascii="Calibri" w:hAnsi="Calibri" w:cs="Calibri"/>
                <w:sz w:val="20"/>
                <w:szCs w:val="20"/>
              </w:rPr>
              <w:t>tender_77767 - Servizio di supporto alla progettazione, all'avvio e alla messa a regime del centro studi del sistema economico regionale per il periodo 2025-2027</w:t>
            </w:r>
          </w:p>
        </w:tc>
      </w:tr>
      <w:tr w:rsidR="0032700D" w:rsidRPr="00CE3A09" w14:paraId="79E4D973"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559F7C2A"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Brescia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485AFA52"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2.241.652,54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2BE990A6"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05/12/2025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68186183"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Comune di Brescia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65290063"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Servizio di digitalizzazione dei fascicoli delle pratiche edilizie del comune di Brescia</w:t>
            </w:r>
          </w:p>
        </w:tc>
      </w:tr>
      <w:tr w:rsidR="0032700D" w:rsidRPr="00CE3A09" w14:paraId="014D72E1"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42B00025"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7913BFE4"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2.008.130,00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22868A1A"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10/12/2025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4EB5C59A"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Provincia Autonoma di Bolzano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45F09DCE"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AOV SUA SF 20_2025 - Servizio finalizzato alla digitalizzazione dell'automazione degli edifici - Building Management System (BMS) nei pubblici edifici della Provincia autonoma di Bolzano – Alto Adige</w:t>
            </w:r>
          </w:p>
        </w:tc>
      </w:tr>
      <w:tr w:rsidR="0032700D" w:rsidRPr="00CE3A09" w14:paraId="25BB482E"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27948260"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Teramo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32B4913C"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805.462,20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7AEE741F"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04/12/2025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71FBA2C3"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AreaCom - Agenzia Regionale dell'Abruzzo per la Committenza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3E8348F4"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DPE018 - Progettazione PFTE ed esecutiva, Direzione lavori e Coordinamento della sicurezza in fase di progettazione e di esecuzione - Interventi di potenziamento ed ampliamento del porto di Giulianova in ossequio al P.R.P. 1^ stralcio - Programmazione FSC 2021-2027 - Delibera Cipess n. 15/2024 - Accordo per lo sviluppo e la coesione approvato con DGR n. 447 del 24.07.2024</w:t>
            </w:r>
          </w:p>
        </w:tc>
      </w:tr>
      <w:tr w:rsidR="0032700D" w:rsidRPr="00CE3A09" w14:paraId="671F0290"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08F0C28B"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Cuneo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731C9A15"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804.277,10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3987055F"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05/12/2025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0E36D5E1"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Unione Montana Valle Varaita di Frassino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6EA385D5"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Id Sintel 209704876 Gara europea a procedura aperta per l'affidamento di servizi di ingegneria e architettura aventi ad oggetto la progettazione di fattibilità tecnico-economica (PFTE), progettazione esecutiva (PE), coordinamento per la sicurezza in fase di progettazione ai sensi del d.lgs. 81/08 e s.m.i., e servizi tecnici collegati, relativi agli "interventi di sistemazione idrogeologica frana Prafiol" nel comune di Elva (CN)</w:t>
            </w:r>
          </w:p>
        </w:tc>
      </w:tr>
      <w:tr w:rsidR="0032700D" w:rsidRPr="00CE3A09" w14:paraId="4AD43CAC"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730E49F2"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2464FEA5"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800.000,00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2F18CEFA"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07/01/2026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5EB55061"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Autostrada Brescia-Verona-Vicenza-Padova S</w:t>
            </w:r>
            <w:r>
              <w:rPr>
                <w:rFonts w:ascii="Calibri" w:hAnsi="Calibri" w:cs="Calibri"/>
                <w:sz w:val="20"/>
                <w:szCs w:val="20"/>
              </w:rPr>
              <w:t>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2B83D3A2"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Gara G00288_2025 in 2 lotti - Prove in sito e in laboratorio sulla pavimentazione e sul corpo stradale lungo le autostrade - Lotto 1 Est</w:t>
            </w:r>
          </w:p>
        </w:tc>
      </w:tr>
      <w:tr w:rsidR="0032700D" w:rsidRPr="00CE3A09" w14:paraId="404702A2"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6297DAE5"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2BB5546B"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800.000,00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17C0C662"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07/01/2026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03CDB7CA"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 xml:space="preserve">Autostrada Brescia-Verona-Vicenza-Padova </w:t>
            </w:r>
            <w:r>
              <w:rPr>
                <w:rFonts w:ascii="Calibri" w:hAnsi="Calibri" w:cs="Calibri"/>
                <w:sz w:val="20"/>
                <w:szCs w:val="20"/>
              </w:rPr>
              <w:t>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7396D712"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Gara G00288_2025 in 2 lotti - Prove in sito e in laboratorio sulla pavimentazione e sul corpo stradale lungo le autostrade - Lotto 2 Ovest</w:t>
            </w:r>
          </w:p>
        </w:tc>
      </w:tr>
      <w:tr w:rsidR="0032700D" w:rsidRPr="00CE3A09" w14:paraId="23205E37" w14:textId="77777777" w:rsidTr="00A12EAB">
        <w:trPr>
          <w:trHeight w:val="68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32700D" w:rsidRPr="009F490F" w:rsidRDefault="0032700D" w:rsidP="0032700D">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4AC08BCA"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Cremona</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6C2E8D80"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708.709,39</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39DFE95A" w:rsidR="0032700D" w:rsidRPr="0032700D" w:rsidRDefault="0032700D" w:rsidP="0032700D">
            <w:pPr>
              <w:spacing w:after="0" w:line="240" w:lineRule="auto"/>
              <w:rPr>
                <w:rFonts w:eastAsia="Times New Roman" w:cstheme="minorHAnsi"/>
                <w:noProof w:val="0"/>
                <w:kern w:val="0"/>
                <w:sz w:val="20"/>
                <w:szCs w:val="20"/>
                <w:lang w:val="en-US"/>
                <w14:ligatures w14:val="none"/>
              </w:rPr>
            </w:pPr>
            <w:r w:rsidRPr="0032700D">
              <w:rPr>
                <w:rFonts w:ascii="Calibri" w:hAnsi="Calibri" w:cs="Calibri"/>
                <w:sz w:val="20"/>
                <w:szCs w:val="20"/>
              </w:rPr>
              <w:t>12/01/2026</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0F85E62E"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 xml:space="preserve">Padania Acque </w:t>
            </w:r>
            <w:r>
              <w:rPr>
                <w:rFonts w:ascii="Calibri" w:hAnsi="Calibri" w:cs="Calibri"/>
                <w:sz w:val="20"/>
                <w:szCs w:val="20"/>
              </w:rPr>
              <w:t>SpA</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3B587F10" w:rsidR="0032700D" w:rsidRPr="0032700D" w:rsidRDefault="0032700D" w:rsidP="0032700D">
            <w:pPr>
              <w:spacing w:after="0" w:line="240" w:lineRule="auto"/>
              <w:rPr>
                <w:rFonts w:eastAsia="Times New Roman" w:cstheme="minorHAnsi"/>
                <w:noProof w:val="0"/>
                <w:kern w:val="0"/>
                <w:sz w:val="20"/>
                <w:szCs w:val="20"/>
                <w14:ligatures w14:val="none"/>
              </w:rPr>
            </w:pPr>
            <w:r w:rsidRPr="0032700D">
              <w:rPr>
                <w:rFonts w:ascii="Calibri" w:hAnsi="Calibri" w:cs="Calibri"/>
                <w:sz w:val="20"/>
                <w:szCs w:val="20"/>
              </w:rPr>
              <w:t>Servizio di progettazione dell'ampliamento e dell'adeguamento sismicoenergetico degli edifici della sede legale di Padania Acque S.p.A., comprensivo del coordinamento della sicurezza in fase di progettazione.</w:t>
            </w:r>
          </w:p>
        </w:tc>
      </w:tr>
      <w:tr w:rsidR="00CE3A09" w:rsidRPr="00CE3A09" w14:paraId="5D49B6BD" w14:textId="77777777" w:rsidTr="0032700D">
        <w:trPr>
          <w:trHeight w:val="680"/>
        </w:trPr>
        <w:tc>
          <w:tcPr>
            <w:tcW w:w="5000" w:type="pct"/>
            <w:gridSpan w:val="6"/>
            <w:tcBorders>
              <w:left w:val="nil"/>
              <w:right w:val="nil"/>
            </w:tcBorders>
            <w:shd w:val="clear" w:color="auto" w:fill="E7E6E6" w:themeFill="background2"/>
            <w:vAlign w:val="center"/>
          </w:tcPr>
          <w:p w14:paraId="07E7A8F7" w14:textId="0D806CAA" w:rsidR="00453A41" w:rsidRPr="009F490F" w:rsidRDefault="00453A41" w:rsidP="005A5800">
            <w:pPr>
              <w:spacing w:after="0" w:line="240" w:lineRule="auto"/>
              <w:jc w:val="both"/>
              <w:rPr>
                <w:rFonts w:eastAsia="Times New Roman" w:cstheme="minorHAnsi"/>
                <w:b/>
                <w:bCs/>
                <w:noProof w:val="0"/>
                <w:kern w:val="0"/>
                <w:sz w:val="20"/>
                <w:szCs w:val="20"/>
                <w:lang w:val="en-US"/>
                <w14:ligatures w14:val="none"/>
              </w:rPr>
            </w:pPr>
            <w:proofErr w:type="spellStart"/>
            <w:r w:rsidRPr="009F490F">
              <w:rPr>
                <w:rFonts w:eastAsia="Times New Roman" w:cstheme="minorHAnsi"/>
                <w:b/>
                <w:bCs/>
                <w:noProof w:val="0"/>
                <w:kern w:val="0"/>
                <w:sz w:val="20"/>
                <w:szCs w:val="20"/>
                <w:lang w:val="en-US"/>
                <w14:ligatures w14:val="none"/>
              </w:rPr>
              <w:t>Altri</w:t>
            </w:r>
            <w:proofErr w:type="spellEnd"/>
            <w:r w:rsidRPr="009F490F">
              <w:rPr>
                <w:rFonts w:eastAsia="Times New Roman" w:cstheme="minorHAnsi"/>
                <w:b/>
                <w:bCs/>
                <w:noProof w:val="0"/>
                <w:kern w:val="0"/>
                <w:sz w:val="20"/>
                <w:szCs w:val="20"/>
                <w:lang w:val="en-US"/>
                <w14:ligatures w14:val="none"/>
              </w:rPr>
              <w:t xml:space="preserve"> </w:t>
            </w:r>
            <w:proofErr w:type="spellStart"/>
            <w:r w:rsidRPr="009F490F">
              <w:rPr>
                <w:rFonts w:eastAsia="Times New Roman" w:cstheme="minorHAnsi"/>
                <w:b/>
                <w:bCs/>
                <w:noProof w:val="0"/>
                <w:kern w:val="0"/>
                <w:sz w:val="20"/>
                <w:szCs w:val="20"/>
                <w:lang w:val="en-US"/>
                <w14:ligatures w14:val="none"/>
              </w:rPr>
              <w:t>bandi</w:t>
            </w:r>
            <w:proofErr w:type="spellEnd"/>
          </w:p>
        </w:tc>
      </w:tr>
      <w:tr w:rsidR="0032700D" w:rsidRPr="00CE3A09" w14:paraId="56191148" w14:textId="77777777" w:rsidTr="00A12EAB">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847093" w14:textId="5D0328CE"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F7AE9" w14:textId="445F3DC2" w:rsidR="0032700D" w:rsidRPr="00906DBE" w:rsidRDefault="0032700D" w:rsidP="0032700D">
            <w:pPr>
              <w:spacing w:after="0" w:line="240" w:lineRule="auto"/>
              <w:rPr>
                <w:rFonts w:cstheme="minorHAnsi"/>
                <w:sz w:val="20"/>
                <w:szCs w:val="20"/>
              </w:rPr>
            </w:pPr>
            <w:r>
              <w:rPr>
                <w:rFonts w:ascii="Calibri" w:hAnsi="Calibri" w:cs="Calibri"/>
                <w:sz w:val="20"/>
                <w:szCs w:val="20"/>
              </w:rPr>
              <w:t>Trieste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7B2FBD" w14:textId="3692BA6C" w:rsidR="0032700D" w:rsidRPr="00906DBE" w:rsidRDefault="0032700D" w:rsidP="0032700D">
            <w:pPr>
              <w:spacing w:after="0" w:line="240" w:lineRule="auto"/>
              <w:rPr>
                <w:rFonts w:cstheme="minorHAnsi"/>
                <w:sz w:val="20"/>
                <w:szCs w:val="20"/>
              </w:rPr>
            </w:pPr>
            <w:r>
              <w:rPr>
                <w:rFonts w:ascii="Calibri" w:hAnsi="Calibri" w:cs="Calibri"/>
                <w:sz w:val="20"/>
                <w:szCs w:val="20"/>
              </w:rPr>
              <w:t>664.800,25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31923" w14:textId="3677F993" w:rsidR="0032700D" w:rsidRPr="00906DBE" w:rsidRDefault="0032700D" w:rsidP="0032700D">
            <w:pPr>
              <w:spacing w:after="0" w:line="240" w:lineRule="auto"/>
              <w:rPr>
                <w:rFonts w:cstheme="minorHAnsi"/>
                <w:sz w:val="20"/>
                <w:szCs w:val="20"/>
              </w:rPr>
            </w:pPr>
            <w:r>
              <w:rPr>
                <w:rFonts w:ascii="Calibri" w:hAnsi="Calibri" w:cs="Calibri"/>
                <w:sz w:val="20"/>
                <w:szCs w:val="20"/>
              </w:rPr>
              <w:t>09/12/2025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82563" w14:textId="421E1AF9" w:rsidR="0032700D" w:rsidRPr="00906DBE" w:rsidRDefault="0032700D" w:rsidP="0032700D">
            <w:pPr>
              <w:spacing w:after="0" w:line="240" w:lineRule="auto"/>
              <w:rPr>
                <w:rFonts w:cstheme="minorHAnsi"/>
                <w:sz w:val="20"/>
                <w:szCs w:val="20"/>
              </w:rPr>
            </w:pPr>
            <w:r>
              <w:rPr>
                <w:rFonts w:ascii="Calibri" w:hAnsi="Calibri" w:cs="Calibri"/>
                <w:sz w:val="20"/>
                <w:szCs w:val="20"/>
              </w:rPr>
              <w:t>ASUGI - Azienda Sanitaria Universitaria Giuliano Isontina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5CF205A" w14:textId="75457997" w:rsidR="0032700D" w:rsidRPr="00906DBE" w:rsidRDefault="0032700D" w:rsidP="0032700D">
            <w:pPr>
              <w:spacing w:after="0" w:line="240" w:lineRule="auto"/>
              <w:rPr>
                <w:rFonts w:cstheme="minorHAnsi"/>
                <w:sz w:val="20"/>
                <w:szCs w:val="20"/>
              </w:rPr>
            </w:pPr>
            <w:r>
              <w:rPr>
                <w:rFonts w:ascii="Calibri" w:hAnsi="Calibri" w:cs="Calibri"/>
                <w:sz w:val="20"/>
                <w:szCs w:val="20"/>
              </w:rPr>
              <w:t>Servizi tecnici di ingegneria e architettura per i lavori di ampliamento dell'edificio Polo Cardiologico dell'Ospedale di Cattinara di Trieste per l'adeguamento e il potenziamento delle sale operatorie</w:t>
            </w:r>
          </w:p>
        </w:tc>
      </w:tr>
      <w:tr w:rsidR="0032700D" w:rsidRPr="00CE3A09" w14:paraId="4CBDF39C" w14:textId="77777777" w:rsidTr="00A12EAB">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DA56423"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66D5C30A" w:rsidR="0032700D" w:rsidRPr="00906DBE" w:rsidRDefault="0032700D" w:rsidP="0032700D">
            <w:pPr>
              <w:spacing w:after="0" w:line="240" w:lineRule="auto"/>
              <w:rPr>
                <w:rFonts w:cstheme="minorHAnsi"/>
                <w:sz w:val="20"/>
                <w:szCs w:val="20"/>
              </w:rPr>
            </w:pPr>
            <w:r>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1CC2BED9" w:rsidR="0032700D" w:rsidRPr="00906DBE" w:rsidRDefault="0032700D" w:rsidP="0032700D">
            <w:pPr>
              <w:spacing w:after="0" w:line="240" w:lineRule="auto"/>
              <w:rPr>
                <w:rFonts w:cstheme="minorHAnsi"/>
                <w:sz w:val="20"/>
                <w:szCs w:val="20"/>
              </w:rPr>
            </w:pPr>
            <w:r>
              <w:rPr>
                <w:rFonts w:ascii="Calibri" w:hAnsi="Calibri" w:cs="Calibri"/>
                <w:sz w:val="20"/>
                <w:szCs w:val="20"/>
              </w:rPr>
              <w:t>610.185,54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4E174D77" w:rsidR="0032700D" w:rsidRPr="00906DBE" w:rsidRDefault="0032700D" w:rsidP="0032700D">
            <w:pPr>
              <w:spacing w:after="0" w:line="240" w:lineRule="auto"/>
              <w:rPr>
                <w:rFonts w:cstheme="minorHAnsi"/>
                <w:sz w:val="20"/>
                <w:szCs w:val="20"/>
              </w:rPr>
            </w:pPr>
            <w:r>
              <w:rPr>
                <w:rFonts w:ascii="Calibri" w:hAnsi="Calibri" w:cs="Calibri"/>
                <w:sz w:val="20"/>
                <w:szCs w:val="20"/>
              </w:rPr>
              <w:t>09/12/2025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7BB23C6E" w:rsidR="0032700D" w:rsidRPr="00906DBE" w:rsidRDefault="0032700D" w:rsidP="0032700D">
            <w:pPr>
              <w:spacing w:after="0" w:line="240" w:lineRule="auto"/>
              <w:rPr>
                <w:rFonts w:cstheme="minorHAnsi"/>
                <w:sz w:val="20"/>
                <w:szCs w:val="20"/>
              </w:rPr>
            </w:pPr>
            <w:r>
              <w:rPr>
                <w:rFonts w:ascii="Calibri" w:hAnsi="Calibri" w:cs="Calibri"/>
                <w:sz w:val="20"/>
                <w:szCs w:val="20"/>
              </w:rPr>
              <w:t>Provincia di Verona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4DC1CCC3" w:rsidR="0032700D" w:rsidRPr="00906DBE" w:rsidRDefault="0032700D" w:rsidP="0032700D">
            <w:pPr>
              <w:spacing w:after="0" w:line="240" w:lineRule="auto"/>
              <w:rPr>
                <w:rFonts w:cstheme="minorHAnsi"/>
                <w:sz w:val="20"/>
                <w:szCs w:val="20"/>
              </w:rPr>
            </w:pPr>
            <w:r>
              <w:rPr>
                <w:rFonts w:ascii="Calibri" w:hAnsi="Calibri" w:cs="Calibri"/>
                <w:sz w:val="20"/>
                <w:szCs w:val="20"/>
              </w:rPr>
              <w:t>Procedura aperta sopra soglia europea per l'affidamento dei servizi di Progettazione di fattibilità tecnica ed economica, progettazione esecutiva, coordinamento della sicurezza, direzione lavori nell'ambito dell'opera denominata "Manutenzione straordinaria e restauro di coperture e facciate del Palazzo Scaligero" - CUI: L00654810233202500011</w:t>
            </w:r>
          </w:p>
        </w:tc>
      </w:tr>
      <w:tr w:rsidR="0032700D" w:rsidRPr="00CE3A09" w14:paraId="6C362740" w14:textId="77777777" w:rsidTr="00A12EAB">
        <w:trPr>
          <w:trHeight w:val="1361"/>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2E619058"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106CF205" w:rsidR="0032700D" w:rsidRPr="00906DBE" w:rsidRDefault="0032700D" w:rsidP="0032700D">
            <w:pPr>
              <w:spacing w:after="0" w:line="240" w:lineRule="auto"/>
              <w:rPr>
                <w:rFonts w:cstheme="minorHAnsi"/>
                <w:sz w:val="20"/>
                <w:szCs w:val="20"/>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50801512" w:rsidR="0032700D" w:rsidRPr="00906DBE" w:rsidRDefault="0032700D" w:rsidP="0032700D">
            <w:pPr>
              <w:spacing w:after="0" w:line="240" w:lineRule="auto"/>
              <w:rPr>
                <w:rFonts w:cstheme="minorHAnsi"/>
                <w:sz w:val="20"/>
                <w:szCs w:val="20"/>
              </w:rPr>
            </w:pPr>
            <w:r>
              <w:rPr>
                <w:rFonts w:ascii="Calibri" w:hAnsi="Calibri" w:cs="Calibri"/>
                <w:sz w:val="20"/>
                <w:szCs w:val="20"/>
              </w:rPr>
              <w:t>536.184,85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31328A87" w:rsidR="0032700D" w:rsidRPr="00906DBE" w:rsidRDefault="0032700D" w:rsidP="0032700D">
            <w:pPr>
              <w:spacing w:after="0" w:line="240" w:lineRule="auto"/>
              <w:rPr>
                <w:rFonts w:cstheme="minorHAnsi"/>
                <w:sz w:val="20"/>
                <w:szCs w:val="20"/>
              </w:rPr>
            </w:pPr>
            <w:r>
              <w:rPr>
                <w:rFonts w:ascii="Calibri" w:hAnsi="Calibri" w:cs="Calibri"/>
                <w:sz w:val="20"/>
                <w:szCs w:val="20"/>
              </w:rPr>
              <w:t>04/12/2025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43822761" w:rsidR="0032700D" w:rsidRPr="00906DBE" w:rsidRDefault="0032700D" w:rsidP="0032700D">
            <w:pPr>
              <w:spacing w:after="0" w:line="240" w:lineRule="auto"/>
              <w:rPr>
                <w:rFonts w:cstheme="minorHAnsi"/>
                <w:sz w:val="20"/>
                <w:szCs w:val="20"/>
              </w:rPr>
            </w:pPr>
            <w:r>
              <w:rPr>
                <w:rFonts w:ascii="Calibri" w:hAnsi="Calibri" w:cs="Calibri"/>
                <w:sz w:val="20"/>
                <w:szCs w:val="20"/>
              </w:rPr>
              <w:t>Comune di Rho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372BD5DE" w:rsidR="0032700D" w:rsidRPr="00906DBE" w:rsidRDefault="0032700D" w:rsidP="0032700D">
            <w:pPr>
              <w:spacing w:after="0" w:line="240" w:lineRule="auto"/>
              <w:rPr>
                <w:rFonts w:cstheme="minorHAnsi"/>
                <w:sz w:val="20"/>
                <w:szCs w:val="20"/>
              </w:rPr>
            </w:pPr>
            <w:r>
              <w:rPr>
                <w:rFonts w:ascii="Calibri" w:hAnsi="Calibri" w:cs="Calibri"/>
                <w:sz w:val="20"/>
                <w:szCs w:val="20"/>
              </w:rPr>
              <w:t>Id Sintel 209615445 Gara 15CUC2025 Servizio progettazione PFTE, progetto esecutivo comprensivo di CSP con opzione affidamento servizi DL e CSE inerenti l'intervento di realizzazione progetto bosco elettrico multimodalità e spazio pubblico</w:t>
            </w:r>
          </w:p>
        </w:tc>
      </w:tr>
      <w:tr w:rsidR="0032700D" w:rsidRPr="00CE3A09" w14:paraId="091630E5" w14:textId="77777777" w:rsidTr="00A12EAB">
        <w:trPr>
          <w:trHeight w:val="1361"/>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575C882A"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6AEBBC7F" w:rsidR="0032700D" w:rsidRPr="00906DBE" w:rsidRDefault="0032700D" w:rsidP="0032700D">
            <w:pPr>
              <w:spacing w:after="0" w:line="240" w:lineRule="auto"/>
              <w:rPr>
                <w:rFonts w:cstheme="minorHAnsi"/>
                <w:sz w:val="20"/>
                <w:szCs w:val="20"/>
              </w:rPr>
            </w:pPr>
            <w:r>
              <w:rPr>
                <w:rFonts w:ascii="Calibri" w:hAnsi="Calibri" w:cs="Calibri"/>
                <w:sz w:val="20"/>
                <w:szCs w:val="20"/>
              </w:rPr>
              <w:t>Brescia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73CA4DA6" w:rsidR="0032700D" w:rsidRPr="00906DBE" w:rsidRDefault="0032700D" w:rsidP="0032700D">
            <w:pPr>
              <w:spacing w:after="0" w:line="240" w:lineRule="auto"/>
              <w:rPr>
                <w:rFonts w:cstheme="minorHAnsi"/>
                <w:sz w:val="20"/>
                <w:szCs w:val="20"/>
              </w:rPr>
            </w:pPr>
            <w:r>
              <w:rPr>
                <w:rFonts w:ascii="Calibri" w:hAnsi="Calibri" w:cs="Calibri"/>
                <w:sz w:val="20"/>
                <w:szCs w:val="20"/>
              </w:rPr>
              <w:t>529.882,63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4CAFFA8B" w:rsidR="0032700D" w:rsidRPr="00906DBE" w:rsidRDefault="0032700D" w:rsidP="0032700D">
            <w:pPr>
              <w:spacing w:after="0" w:line="240" w:lineRule="auto"/>
              <w:rPr>
                <w:rFonts w:cstheme="minorHAnsi"/>
                <w:sz w:val="20"/>
                <w:szCs w:val="20"/>
              </w:rPr>
            </w:pPr>
            <w:r>
              <w:rPr>
                <w:rFonts w:ascii="Calibri" w:hAnsi="Calibri" w:cs="Calibri"/>
                <w:sz w:val="20"/>
                <w:szCs w:val="20"/>
              </w:rPr>
              <w:t>04/12/2025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213CEE82" w:rsidR="0032700D" w:rsidRPr="00906DBE" w:rsidRDefault="0032700D" w:rsidP="0032700D">
            <w:pPr>
              <w:spacing w:after="0" w:line="240" w:lineRule="auto"/>
              <w:rPr>
                <w:rFonts w:cstheme="minorHAnsi"/>
                <w:sz w:val="20"/>
                <w:szCs w:val="20"/>
              </w:rPr>
            </w:pPr>
            <w:r>
              <w:rPr>
                <w:rFonts w:ascii="Calibri" w:hAnsi="Calibri" w:cs="Calibri"/>
                <w:sz w:val="20"/>
                <w:szCs w:val="20"/>
              </w:rPr>
              <w:t>Ente Area Vasta - Provincia di Brescia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63B4F980" w:rsidR="0032700D" w:rsidRPr="00906DBE" w:rsidRDefault="0032700D" w:rsidP="0032700D">
            <w:pPr>
              <w:spacing w:after="0" w:line="240" w:lineRule="auto"/>
              <w:rPr>
                <w:rFonts w:cstheme="minorHAnsi"/>
                <w:sz w:val="20"/>
                <w:szCs w:val="20"/>
              </w:rPr>
            </w:pPr>
            <w:r>
              <w:rPr>
                <w:rFonts w:ascii="Calibri" w:hAnsi="Calibri" w:cs="Calibri"/>
                <w:sz w:val="20"/>
                <w:szCs w:val="20"/>
              </w:rPr>
              <w:t>Id Sintel 209506106 Gara 126/2025 Procedura aperta a rilevanza comunitaria per l'affidamento dei servizi di collaudo tecnico amministrativo, revisione tecnico contabile, collaudo statico e collaudo funzionale degli impianti relativi all'intervento S.P. BS 237 "Del Caffaro" costruzione della tratta da Vestone Nord a Idro Sud</w:t>
            </w:r>
          </w:p>
        </w:tc>
      </w:tr>
      <w:tr w:rsidR="0032700D" w:rsidRPr="00CE3A09" w14:paraId="2AF479B9" w14:textId="77777777" w:rsidTr="00A12E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2960C072"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64F88BD5" w:rsidR="0032700D" w:rsidRPr="00906DBE" w:rsidRDefault="0032700D" w:rsidP="0032700D">
            <w:pPr>
              <w:spacing w:after="0" w:line="240" w:lineRule="auto"/>
              <w:rPr>
                <w:rFonts w:cstheme="minorHAnsi"/>
                <w:sz w:val="20"/>
                <w:szCs w:val="20"/>
              </w:rPr>
            </w:pPr>
            <w:r>
              <w:rPr>
                <w:rFonts w:ascii="Calibri" w:hAnsi="Calibri" w:cs="Calibri"/>
                <w:sz w:val="20"/>
                <w:szCs w:val="20"/>
              </w:rPr>
              <w:t>Oristano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1E4BDCA0" w:rsidR="0032700D" w:rsidRPr="00906DBE" w:rsidRDefault="0032700D" w:rsidP="0032700D">
            <w:pPr>
              <w:spacing w:after="0" w:line="240" w:lineRule="auto"/>
              <w:rPr>
                <w:rFonts w:cstheme="minorHAnsi"/>
                <w:sz w:val="20"/>
                <w:szCs w:val="20"/>
              </w:rPr>
            </w:pPr>
            <w:r>
              <w:rPr>
                <w:rFonts w:ascii="Calibri" w:hAnsi="Calibri" w:cs="Calibri"/>
                <w:sz w:val="20"/>
                <w:szCs w:val="20"/>
              </w:rPr>
              <w:t>423.922,13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59C147DD" w:rsidR="0032700D" w:rsidRPr="00906DBE" w:rsidRDefault="0032700D" w:rsidP="0032700D">
            <w:pPr>
              <w:spacing w:after="0" w:line="240" w:lineRule="auto"/>
              <w:rPr>
                <w:rFonts w:cstheme="minorHAnsi"/>
                <w:sz w:val="20"/>
                <w:szCs w:val="20"/>
              </w:rPr>
            </w:pPr>
            <w:r>
              <w:rPr>
                <w:rFonts w:ascii="Calibri" w:hAnsi="Calibri" w:cs="Calibri"/>
                <w:sz w:val="20"/>
                <w:szCs w:val="20"/>
              </w:rPr>
              <w:t>17/12/2025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64A73BFA" w:rsidR="0032700D" w:rsidRPr="00906DBE" w:rsidRDefault="0032700D" w:rsidP="0032700D">
            <w:pPr>
              <w:spacing w:after="0" w:line="240" w:lineRule="auto"/>
              <w:rPr>
                <w:rFonts w:cstheme="minorHAnsi"/>
                <w:sz w:val="20"/>
                <w:szCs w:val="20"/>
              </w:rPr>
            </w:pPr>
            <w:r>
              <w:rPr>
                <w:rFonts w:ascii="Calibri" w:hAnsi="Calibri" w:cs="Calibri"/>
                <w:sz w:val="20"/>
                <w:szCs w:val="20"/>
              </w:rPr>
              <w:t xml:space="preserve">Ministero della Cultura -Soprintendenza Archeologia, belle arti e paesaggio per la Città metropolitana di Cagliari e le province di Oristano e Sud Sardegna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6C8E2602" w:rsidR="0032700D" w:rsidRPr="00906DBE" w:rsidRDefault="0032700D" w:rsidP="0032700D">
            <w:pPr>
              <w:spacing w:after="0" w:line="240" w:lineRule="auto"/>
              <w:rPr>
                <w:rFonts w:cstheme="minorHAnsi"/>
                <w:sz w:val="20"/>
                <w:szCs w:val="20"/>
              </w:rPr>
            </w:pPr>
            <w:r>
              <w:rPr>
                <w:rFonts w:ascii="Calibri" w:hAnsi="Calibri" w:cs="Calibri"/>
                <w:sz w:val="20"/>
                <w:szCs w:val="20"/>
              </w:rPr>
              <w:t>Progettazione di fattibilità tecnico - economica e esecutiva, Direzione Operativa e Coordinamento della Sicurezza - Oristano - ex convento di San Francesco - Completamento finiture interne, impianti e arredi ai fini dell'apertura della nuova sede Archivio di Stato di Oristano - Lotto VI</w:t>
            </w:r>
          </w:p>
        </w:tc>
      </w:tr>
      <w:tr w:rsidR="0032700D" w:rsidRPr="00CE3A09" w14:paraId="211E6508" w14:textId="77777777" w:rsidTr="00A12E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489DC26A"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51D60165" w:rsidR="0032700D" w:rsidRPr="00906DBE" w:rsidRDefault="0032700D" w:rsidP="0032700D">
            <w:pPr>
              <w:spacing w:after="0" w:line="240" w:lineRule="auto"/>
              <w:rPr>
                <w:rFonts w:cstheme="minorHAnsi"/>
                <w:sz w:val="20"/>
                <w:szCs w:val="20"/>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1AAB45C1" w:rsidR="0032700D" w:rsidRPr="00906DBE" w:rsidRDefault="0032700D" w:rsidP="0032700D">
            <w:pPr>
              <w:spacing w:after="0" w:line="240" w:lineRule="auto"/>
              <w:rPr>
                <w:rFonts w:cstheme="minorHAnsi"/>
                <w:sz w:val="20"/>
                <w:szCs w:val="20"/>
              </w:rPr>
            </w:pPr>
            <w:r>
              <w:rPr>
                <w:rFonts w:ascii="Calibri" w:hAnsi="Calibri" w:cs="Calibri"/>
                <w:sz w:val="20"/>
                <w:szCs w:val="20"/>
              </w:rPr>
              <w:t>412.548,15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0496DEE9" w:rsidR="0032700D" w:rsidRPr="00906DBE" w:rsidRDefault="0032700D" w:rsidP="0032700D">
            <w:pPr>
              <w:spacing w:after="0" w:line="240" w:lineRule="auto"/>
              <w:rPr>
                <w:rFonts w:cstheme="minorHAnsi"/>
                <w:sz w:val="20"/>
                <w:szCs w:val="20"/>
              </w:rPr>
            </w:pPr>
            <w:r>
              <w:rPr>
                <w:rFonts w:ascii="Calibri" w:hAnsi="Calibri" w:cs="Calibri"/>
                <w:sz w:val="20"/>
                <w:szCs w:val="20"/>
              </w:rPr>
              <w:t>09/12/2025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2B0F6C3A" w:rsidR="0032700D" w:rsidRPr="00906DBE" w:rsidRDefault="0032700D" w:rsidP="0032700D">
            <w:pPr>
              <w:spacing w:after="0" w:line="240" w:lineRule="auto"/>
              <w:rPr>
                <w:rFonts w:cstheme="minorHAnsi"/>
                <w:sz w:val="20"/>
                <w:szCs w:val="20"/>
              </w:rPr>
            </w:pPr>
            <w:r>
              <w:rPr>
                <w:rFonts w:ascii="Calibri" w:hAnsi="Calibri" w:cs="Calibri"/>
                <w:sz w:val="20"/>
                <w:szCs w:val="20"/>
              </w:rPr>
              <w:t>Comune di Bressanone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6AB2A62D" w:rsidR="0032700D" w:rsidRPr="00906DBE" w:rsidRDefault="0032700D" w:rsidP="0032700D">
            <w:pPr>
              <w:spacing w:after="0" w:line="240" w:lineRule="auto"/>
              <w:rPr>
                <w:rFonts w:cstheme="minorHAnsi"/>
                <w:sz w:val="20"/>
                <w:szCs w:val="20"/>
              </w:rPr>
            </w:pPr>
            <w:r>
              <w:rPr>
                <w:rFonts w:ascii="Calibri" w:hAnsi="Calibri" w:cs="Calibri"/>
                <w:sz w:val="20"/>
                <w:szCs w:val="20"/>
              </w:rPr>
              <w:t>ROP 148 - Giardino Vescovile di Bressanone - Direzione lavori specialistica</w:t>
            </w:r>
          </w:p>
        </w:tc>
      </w:tr>
      <w:tr w:rsidR="0032700D" w:rsidRPr="00CE3A09" w14:paraId="4AB4D7F8" w14:textId="77777777" w:rsidTr="00A12E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70CF19EB"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61BF2CA3" w:rsidR="0032700D" w:rsidRPr="00906DBE" w:rsidRDefault="0032700D" w:rsidP="0032700D">
            <w:pPr>
              <w:spacing w:after="0" w:line="240" w:lineRule="auto"/>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3AB893B8" w:rsidR="0032700D" w:rsidRPr="00906DBE" w:rsidRDefault="0032700D" w:rsidP="0032700D">
            <w:pPr>
              <w:spacing w:after="0" w:line="240" w:lineRule="auto"/>
              <w:rPr>
                <w:rFonts w:cstheme="minorHAnsi"/>
                <w:sz w:val="20"/>
                <w:szCs w:val="20"/>
              </w:rPr>
            </w:pPr>
            <w:r>
              <w:rPr>
                <w:rFonts w:ascii="Calibri" w:hAnsi="Calibri" w:cs="Calibri"/>
                <w:sz w:val="20"/>
                <w:szCs w:val="20"/>
              </w:rPr>
              <w:t>412.474,99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03E0C2CE" w:rsidR="0032700D" w:rsidRPr="00906DBE" w:rsidRDefault="0032700D" w:rsidP="0032700D">
            <w:pPr>
              <w:spacing w:after="0" w:line="240" w:lineRule="auto"/>
              <w:rPr>
                <w:rFonts w:cstheme="minorHAnsi"/>
                <w:sz w:val="20"/>
                <w:szCs w:val="20"/>
              </w:rPr>
            </w:pPr>
            <w:r>
              <w:rPr>
                <w:rFonts w:ascii="Calibri" w:hAnsi="Calibri" w:cs="Calibri"/>
                <w:sz w:val="20"/>
                <w:szCs w:val="20"/>
              </w:rPr>
              <w:t>03/12/2025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28C9FC11" w:rsidR="0032700D" w:rsidRPr="00906DBE" w:rsidRDefault="0032700D" w:rsidP="0032700D">
            <w:pPr>
              <w:spacing w:after="0" w:line="240" w:lineRule="auto"/>
              <w:rPr>
                <w:rFonts w:cstheme="minorHAnsi"/>
                <w:sz w:val="20"/>
                <w:szCs w:val="20"/>
              </w:rPr>
            </w:pPr>
            <w:r>
              <w:rPr>
                <w:rFonts w:ascii="Calibri" w:hAnsi="Calibri" w:cs="Calibri"/>
                <w:sz w:val="20"/>
                <w:szCs w:val="20"/>
              </w:rPr>
              <w:t>Consorzio ASI - Consorzio per l'Area di Sviluppo Industriale di Foggia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5EDFFDFE" w:rsidR="0032700D" w:rsidRPr="00906DBE" w:rsidRDefault="0032700D" w:rsidP="0032700D">
            <w:pPr>
              <w:spacing w:after="0" w:line="240" w:lineRule="auto"/>
              <w:rPr>
                <w:rFonts w:cstheme="minorHAnsi"/>
                <w:sz w:val="20"/>
                <w:szCs w:val="20"/>
              </w:rPr>
            </w:pPr>
            <w:r>
              <w:rPr>
                <w:rFonts w:ascii="Calibri" w:hAnsi="Calibri" w:cs="Calibri"/>
                <w:sz w:val="20"/>
                <w:szCs w:val="20"/>
              </w:rPr>
              <w:t>Servizi tecnici di ingegneria e architettura per la direzione dei lavori (misura e contabilità) e coordinamento della sicurezza in fase di esecuzione dell'intervento denominato FSC 2014-2020 Patto per lo sviluppo della Regione Puglia. Realizzazione della piattaforma logistica integrata ferroviaria Incoronata: Lotto II (superfici coperte) CUP (Master) H71C18000050002_ CUP (Collegato) H71C18000060003</w:t>
            </w:r>
          </w:p>
        </w:tc>
      </w:tr>
      <w:tr w:rsidR="0032700D" w:rsidRPr="00CE3A09" w14:paraId="6998EC02" w14:textId="77777777" w:rsidTr="00A12E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402E9430" w:rsidR="0032700D" w:rsidRPr="00024B28"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2991159B" w:rsidR="0032700D" w:rsidRPr="00906DBE" w:rsidRDefault="0032700D" w:rsidP="0032700D">
            <w:pPr>
              <w:spacing w:after="0" w:line="240" w:lineRule="auto"/>
              <w:rPr>
                <w:rFonts w:cstheme="minorHAnsi"/>
                <w:sz w:val="20"/>
                <w:szCs w:val="20"/>
              </w:rPr>
            </w:pPr>
            <w:r>
              <w:rPr>
                <w:rFonts w:ascii="Calibri" w:hAnsi="Calibri" w:cs="Calibri"/>
                <w:sz w:val="20"/>
                <w:szCs w:val="20"/>
              </w:rPr>
              <w:t>Pordenone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3A7F5C46" w:rsidR="0032700D" w:rsidRPr="00906DBE" w:rsidRDefault="0032700D" w:rsidP="0032700D">
            <w:pPr>
              <w:spacing w:after="0" w:line="240" w:lineRule="auto"/>
              <w:rPr>
                <w:rFonts w:cstheme="minorHAnsi"/>
                <w:sz w:val="20"/>
                <w:szCs w:val="20"/>
              </w:rPr>
            </w:pPr>
            <w:r>
              <w:rPr>
                <w:rFonts w:ascii="Calibri" w:hAnsi="Calibri" w:cs="Calibri"/>
                <w:sz w:val="20"/>
                <w:szCs w:val="20"/>
              </w:rPr>
              <w:t>409.127,71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00FCD00A" w:rsidR="0032700D" w:rsidRPr="00906DBE" w:rsidRDefault="0032700D" w:rsidP="0032700D">
            <w:pPr>
              <w:spacing w:after="0" w:line="240" w:lineRule="auto"/>
              <w:rPr>
                <w:rFonts w:cstheme="minorHAnsi"/>
                <w:sz w:val="20"/>
                <w:szCs w:val="20"/>
              </w:rPr>
            </w:pPr>
            <w:r>
              <w:rPr>
                <w:rFonts w:ascii="Calibri" w:hAnsi="Calibri" w:cs="Calibri"/>
                <w:sz w:val="20"/>
                <w:szCs w:val="20"/>
              </w:rPr>
              <w:t>09/12/2025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241D7A67" w:rsidR="0032700D" w:rsidRPr="00906DBE" w:rsidRDefault="0032700D" w:rsidP="0032700D">
            <w:pPr>
              <w:spacing w:after="0" w:line="240" w:lineRule="auto"/>
              <w:rPr>
                <w:rFonts w:cstheme="minorHAnsi"/>
                <w:sz w:val="20"/>
                <w:szCs w:val="20"/>
              </w:rPr>
            </w:pPr>
            <w:r>
              <w:rPr>
                <w:rFonts w:ascii="Calibri" w:hAnsi="Calibri" w:cs="Calibri"/>
                <w:sz w:val="20"/>
                <w:szCs w:val="20"/>
              </w:rPr>
              <w:t>Comune di Pordenone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488A25C1" w:rsidR="0032700D" w:rsidRPr="00906DBE" w:rsidRDefault="0032700D" w:rsidP="0032700D">
            <w:pPr>
              <w:spacing w:after="0" w:line="240" w:lineRule="auto"/>
              <w:rPr>
                <w:rFonts w:cstheme="minorHAnsi"/>
                <w:sz w:val="20"/>
                <w:szCs w:val="20"/>
              </w:rPr>
            </w:pPr>
            <w:r>
              <w:rPr>
                <w:rFonts w:ascii="Calibri" w:hAnsi="Calibri" w:cs="Calibri"/>
                <w:sz w:val="20"/>
                <w:szCs w:val="20"/>
              </w:rPr>
              <w:t>Gara 136372 in 2 lotti - Servizi di ingegneria ed architettura: Opera 10.26 recupero ex magazzino ferroviario per creazione aula studio polifunzionale dal punto di vista energetico e sismico. Lotto 1) P.F.T.E, progetto esecutivo, coordinamento sicurezza in fase di progettazione e relazione geologica CUP B56H24000020002 - B8DF35F442 CUI S80002150938202518555. Lotto 2) Direzione lavori e coordinamento della sicurezza in fase di esecuzione CUP B59H25000100006 CIG B8DF360515 CUI S80002150938202519028.</w:t>
            </w:r>
          </w:p>
        </w:tc>
      </w:tr>
      <w:tr w:rsidR="0032700D" w:rsidRPr="00CE3A09" w14:paraId="79D89839" w14:textId="77777777" w:rsidTr="00A12E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E8FCBB3" w:rsidR="0032700D" w:rsidRPr="00024B28"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3C329FFB" w:rsidR="0032700D" w:rsidRPr="00906DBE" w:rsidRDefault="0032700D" w:rsidP="0032700D">
            <w:pPr>
              <w:spacing w:after="0" w:line="240" w:lineRule="auto"/>
              <w:rPr>
                <w:rFonts w:cstheme="minorHAnsi"/>
                <w:sz w:val="20"/>
                <w:szCs w:val="20"/>
              </w:rPr>
            </w:pPr>
            <w:r>
              <w:rPr>
                <w:rFonts w:ascii="Calibri" w:hAnsi="Calibri" w:cs="Calibri"/>
                <w:sz w:val="20"/>
                <w:szCs w:val="20"/>
              </w:rPr>
              <w:t>Venezia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3EF2410F" w:rsidR="0032700D" w:rsidRPr="00906DBE" w:rsidRDefault="0032700D" w:rsidP="0032700D">
            <w:pPr>
              <w:spacing w:after="0" w:line="240" w:lineRule="auto"/>
              <w:rPr>
                <w:rFonts w:cstheme="minorHAnsi"/>
                <w:sz w:val="20"/>
                <w:szCs w:val="20"/>
              </w:rPr>
            </w:pPr>
            <w:r>
              <w:rPr>
                <w:rFonts w:ascii="Calibri" w:hAnsi="Calibri" w:cs="Calibri"/>
                <w:sz w:val="20"/>
                <w:szCs w:val="20"/>
              </w:rPr>
              <w:t>348.497,63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70B01B3F" w:rsidR="0032700D" w:rsidRPr="00906DBE" w:rsidRDefault="0032700D" w:rsidP="0032700D">
            <w:pPr>
              <w:spacing w:after="0" w:line="240" w:lineRule="auto"/>
              <w:rPr>
                <w:rFonts w:cstheme="minorHAnsi"/>
                <w:sz w:val="20"/>
                <w:szCs w:val="20"/>
              </w:rPr>
            </w:pPr>
            <w:r>
              <w:rPr>
                <w:rFonts w:ascii="Calibri" w:hAnsi="Calibri" w:cs="Calibri"/>
                <w:sz w:val="20"/>
                <w:szCs w:val="20"/>
              </w:rPr>
              <w:t>04/12/2025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657A3A6B" w:rsidR="0032700D" w:rsidRPr="00906DBE" w:rsidRDefault="0032700D" w:rsidP="0032700D">
            <w:pPr>
              <w:spacing w:after="0" w:line="240" w:lineRule="auto"/>
              <w:rPr>
                <w:rFonts w:cstheme="minorHAnsi"/>
                <w:sz w:val="20"/>
                <w:szCs w:val="20"/>
              </w:rPr>
            </w:pPr>
            <w:r>
              <w:rPr>
                <w:rFonts w:ascii="Calibri" w:hAnsi="Calibri" w:cs="Calibri"/>
                <w:sz w:val="20"/>
                <w:szCs w:val="20"/>
              </w:rPr>
              <w:t>Città Metropolitana di Venezia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6FA248C7" w:rsidR="0032700D" w:rsidRPr="00906DBE" w:rsidRDefault="0032700D" w:rsidP="0032700D">
            <w:pPr>
              <w:spacing w:after="0" w:line="240" w:lineRule="auto"/>
              <w:rPr>
                <w:rFonts w:cstheme="minorHAnsi"/>
                <w:sz w:val="20"/>
                <w:szCs w:val="20"/>
              </w:rPr>
            </w:pPr>
            <w:r>
              <w:rPr>
                <w:rFonts w:ascii="Calibri" w:hAnsi="Calibri" w:cs="Calibri"/>
                <w:sz w:val="20"/>
                <w:szCs w:val="20"/>
              </w:rPr>
              <w:t>Progettazione di fattibilità tecnica ed economica, progettazione esecutiva, rilievo topografico, e indagini geologiche e geotecniche, indagini chimico fisiche dei terreni, piano particellare di esproprio e assistenza al RUP per l'avvio della procedura ex DPR 327/2001, valutazione ambientale strategica (in caso di variante urbanistica), di cui al progetto denominato n. 2 bis dell'accordo di programmazione per la riconversione e la riqualificazione industriale di Porto Marghera (C.D. Accordo Moranzani) - Nodo viabilistico e collegamenti ciclopedonali.</w:t>
            </w:r>
          </w:p>
        </w:tc>
      </w:tr>
      <w:tr w:rsidR="0032700D" w:rsidRPr="00CE3A09" w14:paraId="79832378"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1EE17A" w14:textId="7704EAEA" w:rsidR="0032700D" w:rsidRPr="00024B28"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CE72E" w14:textId="7DCF40F5"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Trento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8BE0" w14:textId="681394E4"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303.551,78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C0B1C" w14:textId="11A089D1"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10/12/2025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2F907" w14:textId="16CEFA2B"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Comune di Cavalese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C862CD" w14:textId="08E7459B"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Gara europea con procedura aperta, per l'affidamento, in base al criterio dell'offerta economicamente piu' vantaggiosa, del servizio di direzione lavori nell'ambito dei lavori di "Ricostruzione del Teatro – Cinema di Cavalese – p.ed.1075, p.ed. 1784 e p.f. 1214/2 c.c. Cavalese</w:t>
            </w:r>
          </w:p>
        </w:tc>
      </w:tr>
      <w:tr w:rsidR="0032700D" w:rsidRPr="00CE3A09" w14:paraId="196C34EF"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499FF" w14:textId="47447539"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9896" w14:textId="04A402E9"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Taranto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EA13C" w14:textId="427F2C8D"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284.635,27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C6678" w14:textId="6CA06DC5"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10/12/2025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3E42F" w14:textId="0E5424F6"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Ministero della Difesa - MARIGENIMIL - Direzione Genio Militare per la Marina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A5A9B4" w14:textId="03801D58"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C.G. 36/25 - Affidamento del Servizio di indagini, valutazione vulnerabilità sismica e diagnosi energetica per la Ristrutturazione del Circolo Ufficiali di Taranto mediante l'adeguamento impiantistico, il restauro dei prospetti esterni e dei locali interni, recupero e ammodernamento dei terrazzamenti, delle aree esterne e dell'area dei campi da tennis</w:t>
            </w:r>
          </w:p>
        </w:tc>
      </w:tr>
      <w:tr w:rsidR="0032700D" w:rsidRPr="00CE3A09" w14:paraId="1083F181"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D6871F4" w14:textId="04486933"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877C8" w14:textId="42A489AF"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Ancona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7FAD6" w14:textId="45646F7C"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246.096,54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ED302" w14:textId="148ABE51"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18/12/2025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1E9D0" w14:textId="782ACDAD"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Comune di Fabriano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93B497" w14:textId="247D3C19"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Gara in 2 lotti - Servizi di ingegneria e architettura inerenti l'affidamento della direzione lavori e del coordinamento della sicurezza in fase di esecuzione, relativi all'intervento: demolizione e ricostruzione dell'edificio scolastico che ospita la scuola media Giovanni Paolo II - Lotto 1 direzione lavori</w:t>
            </w:r>
          </w:p>
        </w:tc>
      </w:tr>
      <w:tr w:rsidR="0032700D" w:rsidRPr="00CE3A09" w14:paraId="50026C04"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D4A407" w14:textId="219DECFE"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62ED" w14:textId="40E9E2A6"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11BC1" w14:textId="501C40ED"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236.400,00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2860B" w14:textId="2D603672"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15/12/2025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D200D" w14:textId="54553C46"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Comune di Milano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435436" w14:textId="52B0D45B"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Appalto 49/2025 - Affidamento del servizio di assistenza tecnico-specialistica per la gestione, il monitoraggio e la valutazione dei piani e degli interventi finanziati da programmi europei e nazionali CUI S01199250158202500065</w:t>
            </w:r>
          </w:p>
        </w:tc>
      </w:tr>
      <w:tr w:rsidR="0032700D" w:rsidRPr="00CE3A09" w14:paraId="20723896"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7F6AB79" w14:textId="17B8040D"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D0884" w14:textId="0AA465CB"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Cosenza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DC7555" w14:textId="782E47A6"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221.275,19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E45BA" w14:textId="13E6CE61"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24/11/2025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5B030" w14:textId="35CA3918"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Ente Parco Nazionale del Pollino di Rotonda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14DD15" w14:textId="703C869C"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Procedura aperta per l'affidamento dei servizi PFTE, progettazione esecutiva, relazione paesaggistica monitoraggio, coordinamento sicurezza, direzione lavori, assistenza e contabilità relativi al recupero dell'ex tracciato ferroviario nel comune di Mormanno tratto c.da Pantano - Ospedale da destinare a pista ciclabile POR Calabria FESR/FSE 2021-2027</w:t>
            </w:r>
          </w:p>
        </w:tc>
      </w:tr>
      <w:tr w:rsidR="0032700D" w:rsidRPr="00CE3A09" w14:paraId="1B382EF8"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B1F38E" w14:textId="14CCED6F"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94AC1" w14:textId="24216FAE"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Udine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5A27B" w14:textId="1C5AB27E"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200.793,53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736C0" w14:textId="304F7DC1"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09/12/2025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CC5D6F" w14:textId="0B3A503E" w:rsidR="0032700D" w:rsidRPr="007606ED" w:rsidRDefault="0032700D" w:rsidP="0032700D">
            <w:pPr>
              <w:spacing w:after="0" w:line="240" w:lineRule="auto"/>
              <w:rPr>
                <w:rFonts w:ascii="Calibri" w:hAnsi="Calibri" w:cs="Calibri"/>
                <w:sz w:val="20"/>
                <w:szCs w:val="20"/>
              </w:rPr>
            </w:pPr>
            <w:r>
              <w:rPr>
                <w:rFonts w:ascii="Calibri" w:hAnsi="Calibri" w:cs="Calibri"/>
                <w:sz w:val="20"/>
                <w:szCs w:val="20"/>
              </w:rPr>
              <w:t>Comune di Pavia di Udine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5294491" w14:textId="42CDB0BA"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Avviso pubblico di indagine di mercato per procedura negoziata ai sensi dell'art. 50 comma 1 lett. e) D.lgs 36/2023 - Servizi tecnici di progettazione (P.F.T.E. ed esecutivo), coordinamento della sicurezza in fase di progettazione e di esecuzione, direzione lavori, misura, contabilità e C.R.E. per l'intervento di sistemazione area esterna polifunzionale a servizio della scuola secondaria di 1° grado C. Percoto.</w:t>
            </w:r>
          </w:p>
        </w:tc>
      </w:tr>
      <w:tr w:rsidR="0032700D" w:rsidRPr="00CE3A09" w14:paraId="5E0D8574"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56E8DB9" w14:textId="40E37092"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FE3CD" w14:textId="1FF89369"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Benevento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2F108" w14:textId="78FB9F8D"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197.319,02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5BDA2" w14:textId="69030ADD"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05/12/2025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38E81D" w14:textId="75B2AB49"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Comune di Pesco Sannita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2D6877" w14:textId="650AF482"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Affidamento dei servizi tecnici per la redazione del (P.F.T.E.) (C.S.P.) Studio Geologico VIA VPIA, per mitigazione del rischio idrogeologico con interventi di messa in sicurezza consolidamento e riqualificazione ambientale alla località Rione S. Angelo Campo Sportivo via S. Nicola.</w:t>
            </w:r>
          </w:p>
        </w:tc>
      </w:tr>
      <w:tr w:rsidR="0032700D" w:rsidRPr="00CE3A09" w14:paraId="6AA2D124" w14:textId="77777777" w:rsidTr="00A12E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7C5A675" w14:textId="088BC3DB"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F9EE3" w14:textId="3EB03EBB"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Taranto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F2FC7" w14:textId="20898285"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186.091,62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689971" w14:textId="5FEAA93D"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15/12/2025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36E14" w14:textId="7681DFBD"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Ministero della Difesa - MARIGENIMIL - Direzione Genio Militare per la Marina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832A9A5" w14:textId="52119A7D" w:rsidR="0032700D" w:rsidRPr="00906DBE" w:rsidRDefault="0032700D" w:rsidP="0032700D">
            <w:pPr>
              <w:spacing w:after="0" w:line="240" w:lineRule="auto"/>
              <w:rPr>
                <w:rFonts w:ascii="Calibri" w:hAnsi="Calibri" w:cs="Calibri"/>
                <w:sz w:val="20"/>
                <w:szCs w:val="20"/>
              </w:rPr>
            </w:pPr>
            <w:r>
              <w:rPr>
                <w:rFonts w:ascii="Calibri" w:hAnsi="Calibri" w:cs="Calibri"/>
                <w:sz w:val="20"/>
                <w:szCs w:val="20"/>
              </w:rPr>
              <w:t>C.G. 48/25 - Affidamento incarico per la redazione del Progetto di Fattibilità Tecnica ed Economica ed Esecutivo, comprensivo di PSC, per lavori di Programma J.S.F. - Realizzazione di un deposito rifiuti pericolosi/speciali presso l'Aerobase di Maristaer Grottaglie TA. Id 2677. Cap. 7120 20</w:t>
            </w:r>
          </w:p>
        </w:tc>
      </w:tr>
      <w:tr w:rsidR="0032700D" w:rsidRPr="00024B28" w14:paraId="32909450" w14:textId="77777777" w:rsidTr="00A12EAB">
        <w:trPr>
          <w:trHeight w:val="680"/>
        </w:trPr>
        <w:tc>
          <w:tcPr>
            <w:tcW w:w="438" w:type="pct"/>
            <w:tcBorders>
              <w:top w:val="single" w:sz="4" w:space="0" w:color="BFBFBF" w:themeColor="background1" w:themeShade="BF"/>
              <w:left w:val="nil"/>
              <w:right w:val="single" w:sz="4" w:space="0" w:color="BFBFBF" w:themeColor="background1" w:themeShade="BF"/>
            </w:tcBorders>
            <w:vAlign w:val="center"/>
          </w:tcPr>
          <w:p w14:paraId="095CDECE" w14:textId="74E56745" w:rsidR="0032700D" w:rsidRPr="007606ED" w:rsidRDefault="0032700D" w:rsidP="0032700D">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ADC383D" w14:textId="7CDD9524" w:rsidR="0032700D" w:rsidRPr="00024B28" w:rsidRDefault="0032700D" w:rsidP="0032700D">
            <w:pPr>
              <w:spacing w:after="0" w:line="240" w:lineRule="auto"/>
              <w:rPr>
                <w:rFonts w:eastAsia="Times New Roman" w:cstheme="minorHAnsi"/>
                <w:noProof w:val="0"/>
                <w:kern w:val="0"/>
                <w:sz w:val="20"/>
                <w:szCs w:val="20"/>
                <w:lang w:val="en-US"/>
                <w14:ligatures w14:val="none"/>
              </w:rPr>
            </w:pPr>
            <w:r>
              <w:rPr>
                <w:rFonts w:ascii="Calibri" w:hAnsi="Calibri" w:cs="Calibri"/>
                <w:sz w:val="20"/>
                <w:szCs w:val="20"/>
              </w:rPr>
              <w:t>Bologna</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D6646DC" w14:textId="746C702E" w:rsidR="0032700D" w:rsidRPr="00024B28" w:rsidRDefault="0032700D" w:rsidP="0032700D">
            <w:pPr>
              <w:spacing w:after="0" w:line="240" w:lineRule="auto"/>
              <w:rPr>
                <w:rFonts w:eastAsia="Times New Roman" w:cstheme="minorHAnsi"/>
                <w:noProof w:val="0"/>
                <w:kern w:val="0"/>
                <w:sz w:val="20"/>
                <w:szCs w:val="20"/>
                <w:lang w:val="en-US"/>
                <w14:ligatures w14:val="none"/>
              </w:rPr>
            </w:pPr>
            <w:r>
              <w:rPr>
                <w:rFonts w:ascii="Calibri" w:hAnsi="Calibri" w:cs="Calibri"/>
                <w:sz w:val="20"/>
                <w:szCs w:val="20"/>
              </w:rPr>
              <w:t>182.620,71</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7B969CB" w14:textId="6CE4C907" w:rsidR="0032700D" w:rsidRPr="00024B28" w:rsidRDefault="0032700D" w:rsidP="0032700D">
            <w:pPr>
              <w:spacing w:after="0" w:line="240" w:lineRule="auto"/>
              <w:rPr>
                <w:rFonts w:eastAsia="Times New Roman" w:cstheme="minorHAnsi"/>
                <w:noProof w:val="0"/>
                <w:kern w:val="0"/>
                <w:sz w:val="20"/>
                <w:szCs w:val="20"/>
                <w:lang w:val="en-US"/>
                <w14:ligatures w14:val="none"/>
              </w:rPr>
            </w:pPr>
            <w:r>
              <w:rPr>
                <w:rFonts w:ascii="Calibri" w:hAnsi="Calibri" w:cs="Calibri"/>
                <w:sz w:val="20"/>
                <w:szCs w:val="20"/>
              </w:rPr>
              <w:t>21/11/2025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F1C84F5" w14:textId="5F5B5473" w:rsidR="0032700D" w:rsidRPr="0032700D" w:rsidRDefault="0032700D" w:rsidP="0032700D">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San Giovanni in Persiceto</w:t>
            </w:r>
          </w:p>
        </w:tc>
        <w:tc>
          <w:tcPr>
            <w:tcW w:w="2211" w:type="pct"/>
            <w:tcBorders>
              <w:top w:val="single" w:sz="4" w:space="0" w:color="BFBFBF" w:themeColor="background1" w:themeShade="BF"/>
              <w:left w:val="single" w:sz="4" w:space="0" w:color="BFBFBF" w:themeColor="background1" w:themeShade="BF"/>
              <w:right w:val="nil"/>
            </w:tcBorders>
            <w:vAlign w:val="center"/>
          </w:tcPr>
          <w:p w14:paraId="0425A0A5" w14:textId="658FA10F" w:rsidR="0032700D" w:rsidRPr="007606ED" w:rsidRDefault="0032700D" w:rsidP="0032700D">
            <w:pPr>
              <w:spacing w:after="0" w:line="240" w:lineRule="auto"/>
              <w:rPr>
                <w:rFonts w:eastAsia="Times New Roman" w:cstheme="minorHAnsi"/>
                <w:noProof w:val="0"/>
                <w:kern w:val="0"/>
                <w:sz w:val="20"/>
                <w:szCs w:val="20"/>
                <w14:ligatures w14:val="none"/>
              </w:rPr>
            </w:pPr>
            <w:r>
              <w:rPr>
                <w:rFonts w:ascii="Calibri" w:hAnsi="Calibri" w:cs="Calibri"/>
                <w:sz w:val="20"/>
                <w:szCs w:val="20"/>
              </w:rPr>
              <w:t>Affidamento dei servizi attinenti all'architettura e all'ingegneria relativi alla progettazione esecutiva, coordinamento della sicurezza in fase di progettazione e direzione lavori e coordinamento di sicurezza in fase di esecuzione, inerenti i lavori di ampliamento dell'area sportiva del capoluogo – Area Manganelli</w:t>
            </w:r>
          </w:p>
        </w:tc>
      </w:tr>
      <w:tr w:rsidR="0032700D" w:rsidRPr="00CE3A09" w14:paraId="6079C4D2" w14:textId="77777777" w:rsidTr="00A12EAB">
        <w:trPr>
          <w:trHeight w:val="680"/>
        </w:trPr>
        <w:tc>
          <w:tcPr>
            <w:tcW w:w="438" w:type="pct"/>
            <w:tcBorders>
              <w:left w:val="nil"/>
            </w:tcBorders>
            <w:vAlign w:val="center"/>
          </w:tcPr>
          <w:p w14:paraId="7176B8AB" w14:textId="67D5808A" w:rsidR="0032700D" w:rsidRPr="009F490F" w:rsidRDefault="0032700D" w:rsidP="0032700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729762AB" w14:textId="150EB97F" w:rsidR="0032700D" w:rsidRPr="00906DBE" w:rsidRDefault="0032700D" w:rsidP="0032700D">
            <w:pPr>
              <w:spacing w:after="0" w:line="240" w:lineRule="auto"/>
              <w:rPr>
                <w:rFonts w:cstheme="minorHAnsi"/>
                <w:sz w:val="20"/>
                <w:szCs w:val="20"/>
              </w:rPr>
            </w:pPr>
            <w:r>
              <w:rPr>
                <w:rFonts w:ascii="Calibri" w:hAnsi="Calibri" w:cs="Calibri"/>
                <w:sz w:val="20"/>
                <w:szCs w:val="20"/>
              </w:rPr>
              <w:t>L'Aquila</w:t>
            </w:r>
          </w:p>
        </w:tc>
        <w:tc>
          <w:tcPr>
            <w:tcW w:w="546" w:type="pct"/>
            <w:vAlign w:val="center"/>
          </w:tcPr>
          <w:p w14:paraId="34B11F5A" w14:textId="1A5D9F87" w:rsidR="0032700D" w:rsidRPr="00906DBE" w:rsidRDefault="0032700D" w:rsidP="0032700D">
            <w:pPr>
              <w:spacing w:after="0" w:line="240" w:lineRule="auto"/>
              <w:rPr>
                <w:rFonts w:cstheme="minorHAnsi"/>
                <w:sz w:val="20"/>
                <w:szCs w:val="20"/>
              </w:rPr>
            </w:pPr>
            <w:r>
              <w:rPr>
                <w:rFonts w:ascii="Calibri" w:hAnsi="Calibri" w:cs="Calibri"/>
                <w:sz w:val="20"/>
                <w:szCs w:val="20"/>
              </w:rPr>
              <w:t>178.570,24</w:t>
            </w:r>
          </w:p>
        </w:tc>
        <w:tc>
          <w:tcPr>
            <w:tcW w:w="657" w:type="pct"/>
            <w:vAlign w:val="center"/>
          </w:tcPr>
          <w:p w14:paraId="0A0C8276" w14:textId="4E66B4EF" w:rsidR="0032700D" w:rsidRPr="00906DBE" w:rsidRDefault="0032700D" w:rsidP="0032700D">
            <w:pPr>
              <w:spacing w:after="0" w:line="240" w:lineRule="auto"/>
              <w:rPr>
                <w:rFonts w:cstheme="minorHAnsi"/>
                <w:sz w:val="20"/>
                <w:szCs w:val="20"/>
              </w:rPr>
            </w:pPr>
            <w:r>
              <w:rPr>
                <w:rFonts w:ascii="Calibri" w:hAnsi="Calibri" w:cs="Calibri"/>
                <w:sz w:val="20"/>
                <w:szCs w:val="20"/>
              </w:rPr>
              <w:t>05/12/2025</w:t>
            </w:r>
          </w:p>
        </w:tc>
        <w:tc>
          <w:tcPr>
            <w:tcW w:w="601" w:type="pct"/>
            <w:vAlign w:val="center"/>
          </w:tcPr>
          <w:p w14:paraId="1CF59647" w14:textId="62A2E0E9" w:rsidR="0032700D" w:rsidRPr="00906DBE" w:rsidRDefault="0032700D" w:rsidP="0032700D">
            <w:pPr>
              <w:spacing w:after="0" w:line="240" w:lineRule="auto"/>
              <w:rPr>
                <w:rFonts w:cstheme="minorHAnsi"/>
                <w:sz w:val="20"/>
                <w:szCs w:val="20"/>
              </w:rPr>
            </w:pPr>
            <w:r>
              <w:rPr>
                <w:rFonts w:ascii="Calibri" w:hAnsi="Calibri" w:cs="Calibri"/>
                <w:sz w:val="20"/>
                <w:szCs w:val="20"/>
              </w:rPr>
              <w:t>Provincia di L'Aquila</w:t>
            </w:r>
          </w:p>
        </w:tc>
        <w:tc>
          <w:tcPr>
            <w:tcW w:w="2211" w:type="pct"/>
            <w:tcBorders>
              <w:right w:val="nil"/>
            </w:tcBorders>
            <w:vAlign w:val="center"/>
          </w:tcPr>
          <w:p w14:paraId="1492D81E" w14:textId="061A9366" w:rsidR="0032700D" w:rsidRPr="00906DBE" w:rsidRDefault="00A12EAB" w:rsidP="0032700D">
            <w:pPr>
              <w:spacing w:after="0" w:line="240" w:lineRule="auto"/>
              <w:rPr>
                <w:rFonts w:cstheme="minorHAnsi"/>
                <w:sz w:val="20"/>
                <w:szCs w:val="20"/>
              </w:rPr>
            </w:pPr>
            <w:r>
              <w:rPr>
                <w:rFonts w:ascii="Calibri" w:hAnsi="Calibri" w:cs="Calibri"/>
                <w:sz w:val="20"/>
                <w:szCs w:val="20"/>
              </w:rPr>
              <w:t>N</w:t>
            </w:r>
            <w:r w:rsidR="0032700D">
              <w:rPr>
                <w:rFonts w:ascii="Calibri" w:hAnsi="Calibri" w:cs="Calibri"/>
                <w:sz w:val="20"/>
                <w:szCs w:val="20"/>
              </w:rPr>
              <w:t>uovo ponte Molina SP 11 dir Km 2+620. Servizi tecnici di progettazione di fattibilita' tecnico ed economica , progettazione esecutiva, coordinamento della sicurezza in fase di progettazione e dei servizi tecnici opzionali di direzione dei lavori e coordinamento della sicurezza in fase di esecuzione.</w:t>
            </w:r>
          </w:p>
        </w:tc>
      </w:tr>
      <w:tr w:rsidR="0032700D" w:rsidRPr="00CE3A09" w14:paraId="13FC0A98" w14:textId="77777777" w:rsidTr="00A12EAB">
        <w:trPr>
          <w:trHeight w:val="680"/>
        </w:trPr>
        <w:tc>
          <w:tcPr>
            <w:tcW w:w="438" w:type="pct"/>
            <w:tcBorders>
              <w:left w:val="nil"/>
            </w:tcBorders>
            <w:vAlign w:val="center"/>
          </w:tcPr>
          <w:p w14:paraId="1821CAA8" w14:textId="04B10E32" w:rsidR="0032700D" w:rsidRPr="00024B28" w:rsidRDefault="0032700D" w:rsidP="0032700D">
            <w:pPr>
              <w:spacing w:after="0" w:line="240" w:lineRule="auto"/>
              <w:rPr>
                <w:rFonts w:eastAsia="Times New Roman" w:cstheme="minorHAnsi"/>
                <w:noProof w:val="0"/>
                <w:kern w:val="0"/>
                <w:sz w:val="20"/>
                <w:szCs w:val="20"/>
                <w:lang w:val="en-US"/>
                <w14:ligatures w14:val="none"/>
              </w:rPr>
            </w:pPr>
            <w:r w:rsidRPr="00283E22">
              <w:rPr>
                <w:rFonts w:cstheme="minorHAnsi"/>
                <w:sz w:val="20"/>
                <w:szCs w:val="20"/>
              </w:rPr>
              <w:t>Altri bandi</w:t>
            </w:r>
          </w:p>
        </w:tc>
        <w:tc>
          <w:tcPr>
            <w:tcW w:w="547" w:type="pct"/>
            <w:vAlign w:val="center"/>
          </w:tcPr>
          <w:p w14:paraId="63684FFE" w14:textId="302B6C04" w:rsidR="0032700D" w:rsidRDefault="0032700D" w:rsidP="0032700D">
            <w:pPr>
              <w:spacing w:after="0" w:line="240" w:lineRule="auto"/>
              <w:rPr>
                <w:rFonts w:ascii="Calibri" w:hAnsi="Calibri" w:cs="Calibri"/>
                <w:sz w:val="20"/>
                <w:szCs w:val="20"/>
              </w:rPr>
            </w:pPr>
            <w:r>
              <w:rPr>
                <w:rFonts w:ascii="Calibri" w:hAnsi="Calibri" w:cs="Calibri"/>
                <w:sz w:val="20"/>
                <w:szCs w:val="20"/>
              </w:rPr>
              <w:t>L'Aquila</w:t>
            </w:r>
          </w:p>
        </w:tc>
        <w:tc>
          <w:tcPr>
            <w:tcW w:w="546" w:type="pct"/>
            <w:vAlign w:val="center"/>
          </w:tcPr>
          <w:p w14:paraId="33D1AF9F" w14:textId="5F544AC9" w:rsidR="0032700D" w:rsidRDefault="0032700D" w:rsidP="0032700D">
            <w:pPr>
              <w:spacing w:after="0" w:line="240" w:lineRule="auto"/>
              <w:rPr>
                <w:rFonts w:ascii="Calibri" w:hAnsi="Calibri" w:cs="Calibri"/>
                <w:sz w:val="20"/>
                <w:szCs w:val="20"/>
              </w:rPr>
            </w:pPr>
            <w:r>
              <w:rPr>
                <w:rFonts w:ascii="Calibri" w:hAnsi="Calibri" w:cs="Calibri"/>
                <w:sz w:val="20"/>
                <w:szCs w:val="20"/>
              </w:rPr>
              <w:t>178.570,24</w:t>
            </w:r>
          </w:p>
        </w:tc>
        <w:tc>
          <w:tcPr>
            <w:tcW w:w="657" w:type="pct"/>
            <w:vAlign w:val="center"/>
          </w:tcPr>
          <w:p w14:paraId="0E4B3344" w14:textId="24083FFE" w:rsidR="0032700D" w:rsidRDefault="0032700D" w:rsidP="0032700D">
            <w:pPr>
              <w:spacing w:after="0" w:line="240" w:lineRule="auto"/>
              <w:rPr>
                <w:rFonts w:ascii="Calibri" w:hAnsi="Calibri" w:cs="Calibri"/>
                <w:sz w:val="20"/>
                <w:szCs w:val="20"/>
              </w:rPr>
            </w:pPr>
            <w:r>
              <w:rPr>
                <w:rFonts w:ascii="Calibri" w:hAnsi="Calibri" w:cs="Calibri"/>
                <w:sz w:val="20"/>
                <w:szCs w:val="20"/>
              </w:rPr>
              <w:t>05/12/2025</w:t>
            </w:r>
          </w:p>
        </w:tc>
        <w:tc>
          <w:tcPr>
            <w:tcW w:w="601" w:type="pct"/>
            <w:vAlign w:val="center"/>
          </w:tcPr>
          <w:p w14:paraId="75FA7CA2" w14:textId="6B37BB00" w:rsidR="0032700D" w:rsidRDefault="0032700D" w:rsidP="0032700D">
            <w:pPr>
              <w:spacing w:after="0" w:line="240" w:lineRule="auto"/>
              <w:rPr>
                <w:rFonts w:ascii="Calibri" w:hAnsi="Calibri" w:cs="Calibri"/>
                <w:sz w:val="20"/>
                <w:szCs w:val="20"/>
              </w:rPr>
            </w:pPr>
            <w:r>
              <w:rPr>
                <w:rFonts w:ascii="Calibri" w:hAnsi="Calibri" w:cs="Calibri"/>
                <w:sz w:val="20"/>
                <w:szCs w:val="20"/>
              </w:rPr>
              <w:t>Provincia di L'Aquila</w:t>
            </w:r>
          </w:p>
        </w:tc>
        <w:tc>
          <w:tcPr>
            <w:tcW w:w="2211" w:type="pct"/>
            <w:tcBorders>
              <w:right w:val="nil"/>
            </w:tcBorders>
            <w:vAlign w:val="center"/>
          </w:tcPr>
          <w:p w14:paraId="258C5740" w14:textId="440E4DE9" w:rsidR="0032700D" w:rsidRDefault="0032700D" w:rsidP="0032700D">
            <w:pPr>
              <w:spacing w:after="0" w:line="240" w:lineRule="auto"/>
              <w:rPr>
                <w:rFonts w:ascii="Calibri" w:hAnsi="Calibri" w:cs="Calibri"/>
                <w:sz w:val="20"/>
                <w:szCs w:val="20"/>
              </w:rPr>
            </w:pPr>
            <w:r>
              <w:rPr>
                <w:rFonts w:ascii="Calibri" w:hAnsi="Calibri" w:cs="Calibri"/>
                <w:sz w:val="20"/>
                <w:szCs w:val="20"/>
              </w:rPr>
              <w:t>Gara per l'affidamento dei servizi tecnici di progettazione di fattibilità tecnico economica, progettazione esecutiva, coordinamento della sicurezza in fase di progettazione e dei servizi opzionali di direzione dei lavori e coordinamento della sicurezza in fase di esecuzione relativi all'intervento denominato "DM 125/2022 - Lavori di ricostruzione del ponte sul fiume Aterno al km 2+620 della SP11 "dir Molina" - CUI: S80002370668202501003</w:t>
            </w:r>
          </w:p>
        </w:tc>
      </w:tr>
      <w:tr w:rsidR="0032700D" w:rsidRPr="00CE3A09" w14:paraId="34E417BC" w14:textId="77777777" w:rsidTr="00A12EAB">
        <w:trPr>
          <w:trHeight w:val="2211"/>
        </w:trPr>
        <w:tc>
          <w:tcPr>
            <w:tcW w:w="438" w:type="pct"/>
            <w:tcBorders>
              <w:left w:val="nil"/>
            </w:tcBorders>
            <w:vAlign w:val="center"/>
          </w:tcPr>
          <w:p w14:paraId="10E52BB9" w14:textId="177A4266" w:rsidR="0032700D" w:rsidRPr="007606ED" w:rsidRDefault="0032700D" w:rsidP="0032700D">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42CB2323" w14:textId="4A7F185D" w:rsidR="0032700D" w:rsidRDefault="0032700D" w:rsidP="0032700D">
            <w:pPr>
              <w:spacing w:after="0" w:line="240" w:lineRule="auto"/>
              <w:rPr>
                <w:rFonts w:ascii="Calibri" w:hAnsi="Calibri" w:cs="Calibri"/>
                <w:sz w:val="20"/>
                <w:szCs w:val="20"/>
              </w:rPr>
            </w:pPr>
            <w:r>
              <w:rPr>
                <w:rFonts w:ascii="Calibri" w:hAnsi="Calibri" w:cs="Calibri"/>
                <w:sz w:val="20"/>
                <w:szCs w:val="20"/>
              </w:rPr>
              <w:t>Roma</w:t>
            </w:r>
          </w:p>
        </w:tc>
        <w:tc>
          <w:tcPr>
            <w:tcW w:w="546" w:type="pct"/>
            <w:vAlign w:val="center"/>
          </w:tcPr>
          <w:p w14:paraId="060FC1C5" w14:textId="285D071E" w:rsidR="0032700D" w:rsidRDefault="0032700D" w:rsidP="0032700D">
            <w:pPr>
              <w:spacing w:after="0" w:line="240" w:lineRule="auto"/>
              <w:rPr>
                <w:rFonts w:ascii="Calibri" w:hAnsi="Calibri" w:cs="Calibri"/>
                <w:sz w:val="20"/>
                <w:szCs w:val="20"/>
              </w:rPr>
            </w:pPr>
            <w:r>
              <w:rPr>
                <w:rFonts w:ascii="Calibri" w:hAnsi="Calibri" w:cs="Calibri"/>
                <w:sz w:val="20"/>
                <w:szCs w:val="20"/>
              </w:rPr>
              <w:t>159.348,18</w:t>
            </w:r>
          </w:p>
        </w:tc>
        <w:tc>
          <w:tcPr>
            <w:tcW w:w="657" w:type="pct"/>
            <w:vAlign w:val="center"/>
          </w:tcPr>
          <w:p w14:paraId="2589640E" w14:textId="1962D65D" w:rsidR="0032700D" w:rsidRDefault="0032700D" w:rsidP="0032700D">
            <w:pPr>
              <w:spacing w:after="0" w:line="240" w:lineRule="auto"/>
              <w:rPr>
                <w:rFonts w:ascii="Calibri" w:hAnsi="Calibri" w:cs="Calibri"/>
                <w:sz w:val="20"/>
                <w:szCs w:val="20"/>
              </w:rPr>
            </w:pPr>
            <w:r>
              <w:rPr>
                <w:rFonts w:ascii="Calibri" w:hAnsi="Calibri" w:cs="Calibri"/>
                <w:sz w:val="20"/>
                <w:szCs w:val="20"/>
              </w:rPr>
              <w:t>18/11/2025</w:t>
            </w:r>
          </w:p>
        </w:tc>
        <w:tc>
          <w:tcPr>
            <w:tcW w:w="601" w:type="pct"/>
            <w:vAlign w:val="center"/>
          </w:tcPr>
          <w:p w14:paraId="22D03D7C" w14:textId="7B14DBE9" w:rsidR="0032700D" w:rsidRDefault="0032700D" w:rsidP="0032700D">
            <w:pPr>
              <w:spacing w:after="0" w:line="240" w:lineRule="auto"/>
              <w:rPr>
                <w:rFonts w:ascii="Calibri" w:hAnsi="Calibri" w:cs="Calibri"/>
                <w:sz w:val="20"/>
                <w:szCs w:val="20"/>
              </w:rPr>
            </w:pPr>
            <w:r>
              <w:rPr>
                <w:rFonts w:ascii="Calibri" w:hAnsi="Calibri" w:cs="Calibri"/>
                <w:sz w:val="20"/>
                <w:szCs w:val="20"/>
              </w:rPr>
              <w:t>Roma Capitale</w:t>
            </w:r>
          </w:p>
        </w:tc>
        <w:tc>
          <w:tcPr>
            <w:tcW w:w="2211" w:type="pct"/>
            <w:tcBorders>
              <w:right w:val="nil"/>
            </w:tcBorders>
            <w:vAlign w:val="center"/>
          </w:tcPr>
          <w:p w14:paraId="29D39411" w14:textId="34C44B4D" w:rsidR="0032700D" w:rsidRDefault="0032700D" w:rsidP="0032700D">
            <w:pPr>
              <w:spacing w:after="0" w:line="240" w:lineRule="auto"/>
              <w:rPr>
                <w:rFonts w:ascii="Calibri" w:hAnsi="Calibri" w:cs="Calibri"/>
                <w:sz w:val="20"/>
                <w:szCs w:val="20"/>
              </w:rPr>
            </w:pPr>
            <w:r>
              <w:rPr>
                <w:rFonts w:ascii="Calibri" w:hAnsi="Calibri" w:cs="Calibri"/>
                <w:sz w:val="20"/>
                <w:szCs w:val="20"/>
              </w:rPr>
              <w:t>Procedura negoziata senza bando per affidamento servizi architettura e, consistenti nella Redazione del P.F.T.E., Redazione del P.E., Direzione Lavori, Collaudo e Coordinamento della Sicurezza (CSP + CSE) ai sensi del D.Lgs. 81/2008 e ss.mm.ii., relativamente all'opera pubblica denominata "Consolidamento del versante di via Bibbona, tratto in prossimità del civ.115, altezza incrocio con via Careggine 'alta, in direzione della proprietà privata avente accesso dal civ.29 di via Careggine 'bassa". Opera PT 20230770</w:t>
            </w:r>
          </w:p>
        </w:tc>
      </w:tr>
      <w:tr w:rsidR="0032700D" w:rsidRPr="00CE3A09" w14:paraId="424C7FDD" w14:textId="77777777" w:rsidTr="00A12EAB">
        <w:trPr>
          <w:trHeight w:val="680"/>
        </w:trPr>
        <w:tc>
          <w:tcPr>
            <w:tcW w:w="438" w:type="pct"/>
            <w:tcBorders>
              <w:left w:val="nil"/>
              <w:bottom w:val="single" w:sz="24" w:space="0" w:color="BFBFBF" w:themeColor="background1" w:themeShade="BF"/>
            </w:tcBorders>
            <w:vAlign w:val="center"/>
          </w:tcPr>
          <w:p w14:paraId="710C94A8" w14:textId="0087D44F" w:rsidR="0032700D" w:rsidRPr="007606ED" w:rsidRDefault="0032700D" w:rsidP="0032700D">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tcBorders>
              <w:bottom w:val="single" w:sz="24" w:space="0" w:color="BFBFBF" w:themeColor="background1" w:themeShade="BF"/>
            </w:tcBorders>
            <w:vAlign w:val="center"/>
          </w:tcPr>
          <w:p w14:paraId="0AAFE8C5" w14:textId="73616003" w:rsidR="0032700D" w:rsidRDefault="0032700D" w:rsidP="0032700D">
            <w:pPr>
              <w:spacing w:after="0" w:line="240" w:lineRule="auto"/>
              <w:jc w:val="center"/>
              <w:rPr>
                <w:rFonts w:ascii="Calibri" w:hAnsi="Calibri" w:cs="Calibri"/>
                <w:sz w:val="20"/>
                <w:szCs w:val="20"/>
              </w:rPr>
            </w:pPr>
            <w:r>
              <w:rPr>
                <w:rFonts w:ascii="Calibri" w:hAnsi="Calibri" w:cs="Calibri"/>
                <w:sz w:val="20"/>
                <w:szCs w:val="20"/>
              </w:rPr>
              <w:t>Ancona</w:t>
            </w:r>
          </w:p>
        </w:tc>
        <w:tc>
          <w:tcPr>
            <w:tcW w:w="546" w:type="pct"/>
            <w:tcBorders>
              <w:bottom w:val="single" w:sz="24" w:space="0" w:color="BFBFBF" w:themeColor="background1" w:themeShade="BF"/>
            </w:tcBorders>
            <w:vAlign w:val="center"/>
          </w:tcPr>
          <w:p w14:paraId="19818B3C" w14:textId="08B4BDC2" w:rsidR="0032700D" w:rsidRDefault="0032700D" w:rsidP="0032700D">
            <w:pPr>
              <w:spacing w:after="0" w:line="240" w:lineRule="auto"/>
              <w:jc w:val="center"/>
              <w:rPr>
                <w:rFonts w:ascii="Calibri" w:hAnsi="Calibri" w:cs="Calibri"/>
                <w:sz w:val="20"/>
                <w:szCs w:val="20"/>
              </w:rPr>
            </w:pPr>
            <w:r>
              <w:rPr>
                <w:rFonts w:ascii="Calibri" w:hAnsi="Calibri" w:cs="Calibri"/>
                <w:sz w:val="20"/>
                <w:szCs w:val="20"/>
              </w:rPr>
              <w:t>140.851,66</w:t>
            </w:r>
          </w:p>
        </w:tc>
        <w:tc>
          <w:tcPr>
            <w:tcW w:w="657" w:type="pct"/>
            <w:tcBorders>
              <w:bottom w:val="single" w:sz="24" w:space="0" w:color="BFBFBF" w:themeColor="background1" w:themeShade="BF"/>
            </w:tcBorders>
            <w:vAlign w:val="center"/>
          </w:tcPr>
          <w:p w14:paraId="19C74315" w14:textId="72D9F1A8" w:rsidR="0032700D" w:rsidRDefault="0032700D" w:rsidP="0032700D">
            <w:pPr>
              <w:spacing w:after="0" w:line="240" w:lineRule="auto"/>
              <w:jc w:val="center"/>
              <w:rPr>
                <w:rFonts w:ascii="Calibri" w:hAnsi="Calibri" w:cs="Calibri"/>
                <w:sz w:val="20"/>
                <w:szCs w:val="20"/>
              </w:rPr>
            </w:pPr>
            <w:r>
              <w:rPr>
                <w:rFonts w:ascii="Calibri" w:hAnsi="Calibri" w:cs="Calibri"/>
                <w:sz w:val="20"/>
                <w:szCs w:val="20"/>
              </w:rPr>
              <w:t>18/12/2025</w:t>
            </w:r>
          </w:p>
        </w:tc>
        <w:tc>
          <w:tcPr>
            <w:tcW w:w="601" w:type="pct"/>
            <w:tcBorders>
              <w:bottom w:val="single" w:sz="24" w:space="0" w:color="BFBFBF" w:themeColor="background1" w:themeShade="BF"/>
            </w:tcBorders>
            <w:vAlign w:val="center"/>
          </w:tcPr>
          <w:p w14:paraId="0C653EA5" w14:textId="05EC9EB4" w:rsidR="0032700D" w:rsidRDefault="0032700D" w:rsidP="0032700D">
            <w:pPr>
              <w:spacing w:after="0" w:line="240" w:lineRule="auto"/>
              <w:rPr>
                <w:rFonts w:ascii="Calibri" w:hAnsi="Calibri" w:cs="Calibri"/>
                <w:sz w:val="20"/>
                <w:szCs w:val="20"/>
              </w:rPr>
            </w:pPr>
            <w:r>
              <w:rPr>
                <w:rFonts w:ascii="Calibri" w:hAnsi="Calibri" w:cs="Calibri"/>
                <w:sz w:val="20"/>
                <w:szCs w:val="20"/>
              </w:rPr>
              <w:t>Comune di Fabriano</w:t>
            </w:r>
          </w:p>
        </w:tc>
        <w:tc>
          <w:tcPr>
            <w:tcW w:w="2211" w:type="pct"/>
            <w:tcBorders>
              <w:bottom w:val="single" w:sz="24" w:space="0" w:color="BFBFBF" w:themeColor="background1" w:themeShade="BF"/>
              <w:right w:val="nil"/>
            </w:tcBorders>
            <w:vAlign w:val="center"/>
          </w:tcPr>
          <w:p w14:paraId="2320F465" w14:textId="14710D20" w:rsidR="0032700D" w:rsidRDefault="0032700D" w:rsidP="0032700D">
            <w:pPr>
              <w:spacing w:after="0" w:line="240" w:lineRule="auto"/>
              <w:rPr>
                <w:rFonts w:ascii="Calibri" w:hAnsi="Calibri" w:cs="Calibri"/>
                <w:sz w:val="20"/>
                <w:szCs w:val="20"/>
              </w:rPr>
            </w:pPr>
            <w:r>
              <w:rPr>
                <w:rFonts w:ascii="Calibri" w:hAnsi="Calibri" w:cs="Calibri"/>
                <w:sz w:val="20"/>
                <w:szCs w:val="20"/>
              </w:rPr>
              <w:t>Gara in 2 lotti - Servizi di ingegneria e architettura inerenti l'affidamento della direzione lavori e del coordinamento della sicurezza in fase di esecuzione, relativi all'intervento: demolizione e ricostruzione dell'edificio scolastico che ospita la scuola media Giovanni Paolo II - Lotto 2 coordinatore della sicurezza per l'esecuzione dei lavori</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22600"/>
    <w:rsid w:val="00024B28"/>
    <w:rsid w:val="00034BA0"/>
    <w:rsid w:val="000D23B7"/>
    <w:rsid w:val="00157A93"/>
    <w:rsid w:val="001A0057"/>
    <w:rsid w:val="001C6C1B"/>
    <w:rsid w:val="001E1112"/>
    <w:rsid w:val="002B265E"/>
    <w:rsid w:val="002D66AA"/>
    <w:rsid w:val="002D6B7D"/>
    <w:rsid w:val="0032700D"/>
    <w:rsid w:val="00396EFB"/>
    <w:rsid w:val="003E2B00"/>
    <w:rsid w:val="003E4526"/>
    <w:rsid w:val="003E5E42"/>
    <w:rsid w:val="0040469C"/>
    <w:rsid w:val="00425326"/>
    <w:rsid w:val="00453A41"/>
    <w:rsid w:val="00514329"/>
    <w:rsid w:val="00514D28"/>
    <w:rsid w:val="005664AA"/>
    <w:rsid w:val="0058767D"/>
    <w:rsid w:val="005A4601"/>
    <w:rsid w:val="005A5800"/>
    <w:rsid w:val="005C4C89"/>
    <w:rsid w:val="006427C1"/>
    <w:rsid w:val="00681AD3"/>
    <w:rsid w:val="006A2A32"/>
    <w:rsid w:val="006D37F3"/>
    <w:rsid w:val="006F663C"/>
    <w:rsid w:val="007103C2"/>
    <w:rsid w:val="007157F6"/>
    <w:rsid w:val="007358E4"/>
    <w:rsid w:val="007606ED"/>
    <w:rsid w:val="007D7EDD"/>
    <w:rsid w:val="00801014"/>
    <w:rsid w:val="00804214"/>
    <w:rsid w:val="008533EA"/>
    <w:rsid w:val="0089490D"/>
    <w:rsid w:val="008C06BF"/>
    <w:rsid w:val="00906DBE"/>
    <w:rsid w:val="00917C5F"/>
    <w:rsid w:val="009858CF"/>
    <w:rsid w:val="009A1A9B"/>
    <w:rsid w:val="009F490F"/>
    <w:rsid w:val="00A12EAB"/>
    <w:rsid w:val="00A477F0"/>
    <w:rsid w:val="00A6502B"/>
    <w:rsid w:val="00A71232"/>
    <w:rsid w:val="00A72F02"/>
    <w:rsid w:val="00A849EE"/>
    <w:rsid w:val="00AC46A2"/>
    <w:rsid w:val="00AD108D"/>
    <w:rsid w:val="00AD7D87"/>
    <w:rsid w:val="00B36A9A"/>
    <w:rsid w:val="00BA500C"/>
    <w:rsid w:val="00BB7A45"/>
    <w:rsid w:val="00BD35F9"/>
    <w:rsid w:val="00BE484B"/>
    <w:rsid w:val="00C11B2F"/>
    <w:rsid w:val="00C32EB0"/>
    <w:rsid w:val="00C5356E"/>
    <w:rsid w:val="00C7592D"/>
    <w:rsid w:val="00CE3A09"/>
    <w:rsid w:val="00DC4250"/>
    <w:rsid w:val="00DE2C24"/>
    <w:rsid w:val="00DF6955"/>
    <w:rsid w:val="00E05930"/>
    <w:rsid w:val="00E43BEF"/>
    <w:rsid w:val="00E45A5D"/>
    <w:rsid w:val="00E45FCE"/>
    <w:rsid w:val="00E471F6"/>
    <w:rsid w:val="00E81EB2"/>
    <w:rsid w:val="00E84F0C"/>
    <w:rsid w:val="00E85D78"/>
    <w:rsid w:val="00EA4715"/>
    <w:rsid w:val="00EB0A0C"/>
    <w:rsid w:val="00F641B0"/>
    <w:rsid w:val="00F66DC9"/>
    <w:rsid w:val="00F77F76"/>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10826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2025-11-08T14:17:00Z</dcterms:created>
  <dcterms:modified xsi:type="dcterms:W3CDTF">2025-11-08T14:17:00Z</dcterms:modified>
</cp:coreProperties>
</file>