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C56EC" w14:textId="3915A864" w:rsidR="00AD7D87" w:rsidRDefault="00AD7D87" w:rsidP="00AD7D87">
      <w:pPr>
        <w:pStyle w:val="fontec"/>
        <w:rPr>
          <w:b/>
          <w:bCs/>
          <w:sz w:val="24"/>
          <w:szCs w:val="24"/>
        </w:rPr>
      </w:pPr>
      <w:r w:rsidRPr="00EF5304">
        <w:rPr>
          <w:b/>
          <w:bCs/>
          <w:sz w:val="24"/>
          <w:szCs w:val="24"/>
        </w:rPr>
        <w:t xml:space="preserve">Bandi SAI </w:t>
      </w:r>
      <w:r>
        <w:rPr>
          <w:b/>
          <w:bCs/>
          <w:sz w:val="24"/>
          <w:szCs w:val="24"/>
        </w:rPr>
        <w:t xml:space="preserve">di importo superiore a 140mila euro </w:t>
      </w:r>
      <w:r w:rsidRPr="00EF5304">
        <w:rPr>
          <w:b/>
          <w:bCs/>
          <w:sz w:val="24"/>
          <w:szCs w:val="24"/>
        </w:rPr>
        <w:t xml:space="preserve">settimana </w:t>
      </w:r>
      <w:r w:rsidR="00917C5F">
        <w:rPr>
          <w:b/>
          <w:bCs/>
          <w:sz w:val="24"/>
          <w:szCs w:val="24"/>
        </w:rPr>
        <w:t>2</w:t>
      </w:r>
      <w:r w:rsidR="00BA500C">
        <w:rPr>
          <w:b/>
          <w:bCs/>
          <w:sz w:val="24"/>
          <w:szCs w:val="24"/>
        </w:rPr>
        <w:t>1</w:t>
      </w:r>
      <w:r w:rsidR="00BB7A45">
        <w:rPr>
          <w:b/>
          <w:bCs/>
          <w:sz w:val="24"/>
          <w:szCs w:val="24"/>
        </w:rPr>
        <w:t>-</w:t>
      </w:r>
      <w:r w:rsidR="00BA500C">
        <w:rPr>
          <w:b/>
          <w:bCs/>
          <w:sz w:val="24"/>
          <w:szCs w:val="24"/>
        </w:rPr>
        <w:t>2</w:t>
      </w:r>
      <w:r w:rsidR="00917C5F">
        <w:rPr>
          <w:b/>
          <w:bCs/>
          <w:sz w:val="24"/>
          <w:szCs w:val="24"/>
        </w:rPr>
        <w:t>7</w:t>
      </w:r>
      <w:r w:rsidR="00A477F0">
        <w:rPr>
          <w:b/>
          <w:bCs/>
          <w:sz w:val="24"/>
          <w:szCs w:val="24"/>
        </w:rPr>
        <w:t xml:space="preserve"> giugno</w:t>
      </w:r>
      <w:r w:rsidRPr="00EF5304">
        <w:rPr>
          <w:b/>
          <w:bCs/>
          <w:sz w:val="24"/>
          <w:szCs w:val="24"/>
        </w:rPr>
        <w:t xml:space="preserve"> 2025</w:t>
      </w:r>
    </w:p>
    <w:p w14:paraId="59EF617E" w14:textId="77777777" w:rsidR="00AD7D87" w:rsidRPr="00EF5304" w:rsidRDefault="00AD7D87" w:rsidP="00AD7D87">
      <w:pPr>
        <w:pStyle w:val="fontec"/>
        <w:rPr>
          <w:sz w:val="24"/>
          <w:szCs w:val="24"/>
        </w:rPr>
      </w:pPr>
      <w:r w:rsidRPr="00EF5304">
        <w:rPr>
          <w:sz w:val="24"/>
          <w:szCs w:val="24"/>
        </w:rPr>
        <w:t>(Fonte: ONSAI 2020 - Osservatorio Nazionale Servizi Architettura e Ingegneria CNAPPC-CRESME ES)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0"/>
        <w:gridCol w:w="1275"/>
        <w:gridCol w:w="1418"/>
        <w:gridCol w:w="1418"/>
        <w:gridCol w:w="1560"/>
        <w:gridCol w:w="6439"/>
      </w:tblGrid>
      <w:tr w:rsidR="008C06BF" w:rsidRPr="00E45FCE" w14:paraId="7B686CFC" w14:textId="77777777" w:rsidTr="003E4526">
        <w:trPr>
          <w:trHeight w:val="20"/>
          <w:tblHeader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02D12BCD" w14:textId="77777777" w:rsidR="008C06BF" w:rsidRPr="00E45FCE" w:rsidRDefault="008C06BF" w:rsidP="002D6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E45FC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Ambito</w:t>
            </w:r>
            <w:proofErr w:type="spellEnd"/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25E985E6" w14:textId="77777777" w:rsidR="008C06BF" w:rsidRPr="00E45FCE" w:rsidRDefault="008C06BF" w:rsidP="002D6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45FC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Provincia </w:t>
            </w:r>
            <w:proofErr w:type="spellStart"/>
            <w:r w:rsidRPr="00E45FC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esecuzione</w:t>
            </w:r>
            <w:proofErr w:type="spellEnd"/>
            <w:r w:rsidRPr="00E45FC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45FC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lavori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79040B9C" w14:textId="77777777" w:rsidR="00E45FCE" w:rsidRDefault="008C06BF" w:rsidP="002D6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E45FC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Ammontare</w:t>
            </w:r>
            <w:proofErr w:type="spellEnd"/>
            <w:r w:rsidRPr="00E45FC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45FC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corrispettivo</w:t>
            </w:r>
            <w:proofErr w:type="spellEnd"/>
          </w:p>
          <w:p w14:paraId="0AC29356" w14:textId="26E9F90C" w:rsidR="008C06BF" w:rsidRPr="00E45FCE" w:rsidRDefault="008C06BF" w:rsidP="002D6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45FC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(€)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659B085B" w14:textId="77777777" w:rsidR="008C06BF" w:rsidRPr="00E45FCE" w:rsidRDefault="008C06BF" w:rsidP="002D6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E45FC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Termine </w:t>
            </w:r>
            <w:proofErr w:type="spellStart"/>
            <w:r w:rsidRPr="00E45FC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partecipazione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079C7B28" w14:textId="77777777" w:rsidR="008C06BF" w:rsidRPr="00E45FCE" w:rsidRDefault="008C06BF" w:rsidP="002D6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E45FC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Stazione</w:t>
            </w:r>
            <w:proofErr w:type="spellEnd"/>
            <w:r w:rsidRPr="00E45FC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E45FC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appaltante</w:t>
            </w:r>
            <w:proofErr w:type="spellEnd"/>
          </w:p>
        </w:tc>
        <w:tc>
          <w:tcPr>
            <w:tcW w:w="2484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192D56D2" w14:textId="77777777" w:rsidR="008C06BF" w:rsidRPr="00E45FCE" w:rsidRDefault="008C06BF" w:rsidP="002D6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E45FC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Oggetto</w:t>
            </w:r>
            <w:proofErr w:type="spellEnd"/>
          </w:p>
        </w:tc>
      </w:tr>
      <w:tr w:rsidR="008C06BF" w:rsidRPr="008C06BF" w14:paraId="405F8DD7" w14:textId="77777777" w:rsidTr="00E45FCE">
        <w:trPr>
          <w:trHeight w:val="567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6C8CCA4" w14:textId="7DFFB64E" w:rsidR="008C06BF" w:rsidRPr="008C06BF" w:rsidRDefault="008C06BF" w:rsidP="002D6B7D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 w:val="0"/>
                <w:kern w:val="0"/>
                <w:sz w:val="24"/>
                <w:szCs w:val="24"/>
                <w14:ligatures w14:val="none"/>
              </w:rPr>
            </w:pPr>
            <w:r w:rsidRPr="008C06BF">
              <w:rPr>
                <w:rFonts w:ascii="Calibri" w:eastAsia="Times New Roman" w:hAnsi="Calibri" w:cs="Calibri"/>
                <w:b/>
                <w:bCs/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TOP </w:t>
            </w:r>
            <w:r>
              <w:rPr>
                <w:rFonts w:ascii="Calibri" w:eastAsia="Times New Roman" w:hAnsi="Calibri" w:cs="Calibri"/>
                <w:b/>
                <w:bCs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  <w:r w:rsidRPr="008C06BF">
              <w:rPr>
                <w:rFonts w:ascii="Calibri" w:eastAsia="Times New Roman" w:hAnsi="Calibri" w:cs="Calibri"/>
                <w:b/>
                <w:bCs/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</w:tr>
      <w:tr w:rsidR="00917C5F" w:rsidRPr="00AD7D87" w14:paraId="002C4510" w14:textId="77777777" w:rsidTr="003E4526">
        <w:trPr>
          <w:trHeight w:val="20"/>
        </w:trPr>
        <w:tc>
          <w:tcPr>
            <w:tcW w:w="328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029F050" w14:textId="12101FE6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2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38C518" w14:textId="16EDF760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Gorizia</w:t>
            </w:r>
          </w:p>
        </w:tc>
        <w:tc>
          <w:tcPr>
            <w:tcW w:w="547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8EDFA57" w14:textId="72309DD2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1.160.239</w:t>
            </w:r>
          </w:p>
        </w:tc>
        <w:tc>
          <w:tcPr>
            <w:tcW w:w="547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A9C688" w14:textId="4356AEA8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28/07/2025</w:t>
            </w:r>
          </w:p>
        </w:tc>
        <w:tc>
          <w:tcPr>
            <w:tcW w:w="602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8320A99" w14:textId="26FA541E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Ministero della Difesa</w:t>
            </w:r>
          </w:p>
        </w:tc>
        <w:tc>
          <w:tcPr>
            <w:tcW w:w="248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62CD7C73" w14:textId="4F462E3A" w:rsidR="00917C5F" w:rsidRPr="00AD7D87" w:rsidRDefault="003E4526" w:rsidP="003E452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="00917C5F">
              <w:rPr>
                <w:rFonts w:ascii="Calibri" w:hAnsi="Calibri" w:cs="Calibri"/>
                <w:sz w:val="20"/>
                <w:szCs w:val="20"/>
              </w:rPr>
              <w:t xml:space="preserve">ffidamento della redazione del </w:t>
            </w:r>
            <w:r>
              <w:rPr>
                <w:rFonts w:ascii="Calibri" w:hAnsi="Calibri" w:cs="Calibri"/>
                <w:sz w:val="20"/>
                <w:szCs w:val="20"/>
              </w:rPr>
              <w:t>PFTE</w:t>
            </w:r>
            <w:r w:rsidR="00917C5F">
              <w:rPr>
                <w:rFonts w:ascii="Calibri" w:hAnsi="Calibri" w:cs="Calibri"/>
                <w:sz w:val="20"/>
                <w:szCs w:val="20"/>
              </w:rPr>
              <w:t xml:space="preserve"> per appalto integrato BIM per la realizzazione di una nuova Palazzina Comando nel Programma di accentramento della catena di C2 del Comando Brigata Pozzuolo del Friuli, Goriza - ID 7471.</w:t>
            </w:r>
          </w:p>
        </w:tc>
      </w:tr>
      <w:tr w:rsidR="00917C5F" w:rsidRPr="00AD7D87" w14:paraId="6F0ED491" w14:textId="77777777" w:rsidTr="003E4526">
        <w:trPr>
          <w:trHeight w:val="20"/>
        </w:trPr>
        <w:tc>
          <w:tcPr>
            <w:tcW w:w="32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D621EE6" w14:textId="2F506E6B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68791FC" w14:textId="0430A11B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L'Aquila</w:t>
            </w:r>
          </w:p>
        </w:tc>
        <w:tc>
          <w:tcPr>
            <w:tcW w:w="5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9F82779" w14:textId="3A4268D5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604.215</w:t>
            </w:r>
          </w:p>
        </w:tc>
        <w:tc>
          <w:tcPr>
            <w:tcW w:w="5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00F05E7" w14:textId="7D2EE741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04/08/2025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B624A8E" w14:textId="0BEC6F93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MEF - Agenzia del Demanio Direzione Territoriale Abruzzo e Molise</w:t>
            </w:r>
          </w:p>
        </w:tc>
        <w:tc>
          <w:tcPr>
            <w:tcW w:w="24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44D3090B" w14:textId="2B4F0D6B" w:rsidR="00917C5F" w:rsidRPr="00AD7D87" w:rsidRDefault="00917C5F" w:rsidP="003E452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Servizi tecnici di ingegneria e architettura relativi alla </w:t>
            </w:r>
            <w:r w:rsidR="003E4526">
              <w:rPr>
                <w:rFonts w:ascii="Calibri" w:hAnsi="Calibri" w:cs="Calibri"/>
                <w:sz w:val="20"/>
                <w:szCs w:val="20"/>
              </w:rPr>
              <w:t xml:space="preserve">redazione del PFTE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E4526">
              <w:rPr>
                <w:rFonts w:ascii="Calibri" w:hAnsi="Calibri" w:cs="Calibri"/>
                <w:sz w:val="20"/>
                <w:szCs w:val="20"/>
              </w:rPr>
              <w:t xml:space="preserve"> e del PE</w:t>
            </w:r>
            <w:r>
              <w:rPr>
                <w:rFonts w:ascii="Calibri" w:hAnsi="Calibri" w:cs="Calibri"/>
                <w:sz w:val="20"/>
                <w:szCs w:val="20"/>
              </w:rPr>
              <w:t>, entramb</w:t>
            </w:r>
            <w:r w:rsidR="003E4526"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 modalità BIM, coordinamento della sicurezza in fase di progettazione, riferiti all'intervento di adeguamento sismico, efficientamento energetico e rifunzionalizzazione della Ex Caserma Battisti a Sulmona (AQ), da destinare a nuova sede del comando della Guardia di Finanza e del comando stazione dei Carabinieri Forestali di Sulmona - Codice scheda AQD0031 - Complesso AQ1352 - Fabbricato AQ1352001</w:t>
            </w:r>
          </w:p>
        </w:tc>
      </w:tr>
      <w:tr w:rsidR="00917C5F" w:rsidRPr="00AD7D87" w14:paraId="1E454F4B" w14:textId="77777777" w:rsidTr="003E4526">
        <w:trPr>
          <w:trHeight w:val="20"/>
        </w:trPr>
        <w:tc>
          <w:tcPr>
            <w:tcW w:w="32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FDBC42" w14:textId="2D1AACD5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43A0E5D" w14:textId="6B4969C1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Arezzo</w:t>
            </w:r>
          </w:p>
        </w:tc>
        <w:tc>
          <w:tcPr>
            <w:tcW w:w="5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245C70C" w14:textId="740C15A4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600.471</w:t>
            </w:r>
          </w:p>
        </w:tc>
        <w:tc>
          <w:tcPr>
            <w:tcW w:w="5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9F1F938" w14:textId="3F337351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29/07/2025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2F2955D" w14:textId="58DBEF79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Regione Toscana</w:t>
            </w:r>
          </w:p>
        </w:tc>
        <w:tc>
          <w:tcPr>
            <w:tcW w:w="24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4F58D738" w14:textId="284D9B16" w:rsidR="00917C5F" w:rsidRPr="00AD7D87" w:rsidRDefault="00917C5F" w:rsidP="003E452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Affidamento dei servizi di architettura e ingegneria di redazione del progetto di fattibilità tecnico-economica, progetto esecutivo, coordinamento della sicurezza in fase di progettazione e direzione dei lavori di riqualificazione e riorganizzazione dell'edificio Le Culle per la realizzazione del Centro per la sicurezza in agricoltura presso la Tenuta di Cesa.</w:t>
            </w:r>
          </w:p>
        </w:tc>
      </w:tr>
      <w:tr w:rsidR="00917C5F" w:rsidRPr="00A477F0" w14:paraId="79E4D973" w14:textId="77777777" w:rsidTr="003E4526">
        <w:trPr>
          <w:trHeight w:val="20"/>
        </w:trPr>
        <w:tc>
          <w:tcPr>
            <w:tcW w:w="32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3FFC2D1" w14:textId="7D577D15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9856C1" w14:textId="69B24EE3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Treviso</w:t>
            </w:r>
          </w:p>
        </w:tc>
        <w:tc>
          <w:tcPr>
            <w:tcW w:w="5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844FA5C" w14:textId="456E6610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567.102</w:t>
            </w:r>
          </w:p>
        </w:tc>
        <w:tc>
          <w:tcPr>
            <w:tcW w:w="5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94589DF" w14:textId="54A67314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28/07/2025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BC6D999" w14:textId="02E1A485" w:rsidR="00917C5F" w:rsidRPr="00BA500C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Regione Veneto</w:t>
            </w:r>
          </w:p>
        </w:tc>
        <w:tc>
          <w:tcPr>
            <w:tcW w:w="24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26969528" w14:textId="6DDBA4CA" w:rsidR="00917C5F" w:rsidRPr="00A477F0" w:rsidRDefault="00917C5F" w:rsidP="003E452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Affidamento dei servizi di architettura e ingegneria per la progettazione di fattibilità tecnico-economica per successiva indizione di un appalto integrato, con opzioni per l'ufficio della direzione lavori e il coordinamento per la sicurezza in fase di esecuzione. Progetto: demolizione di quattro fabbricati modulari e costruzione del nuovo archivio generale della Regione del Veneto in località Bonisiolo - Mogliano Veneto (TV).</w:t>
            </w:r>
          </w:p>
        </w:tc>
      </w:tr>
      <w:tr w:rsidR="00917C5F" w:rsidRPr="00AD7D87" w14:paraId="014D72E1" w14:textId="77777777" w:rsidTr="003E4526">
        <w:trPr>
          <w:trHeight w:val="20"/>
        </w:trPr>
        <w:tc>
          <w:tcPr>
            <w:tcW w:w="32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B76FA46" w14:textId="37475025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AC7DC14" w14:textId="7E38856E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Bolzano</w:t>
            </w:r>
          </w:p>
        </w:tc>
        <w:tc>
          <w:tcPr>
            <w:tcW w:w="5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052BB38" w14:textId="3D6C25D6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509.593</w:t>
            </w:r>
          </w:p>
        </w:tc>
        <w:tc>
          <w:tcPr>
            <w:tcW w:w="5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0E4FF8E" w14:textId="4E6E95E2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28/07/2025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C2CA481" w14:textId="4DEDE9CF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Comune di Laces</w:t>
            </w:r>
          </w:p>
        </w:tc>
        <w:tc>
          <w:tcPr>
            <w:tcW w:w="24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07AFE0BD" w14:textId="4D3B18FB" w:rsidR="003E4526" w:rsidRPr="00AD7D87" w:rsidRDefault="00917C5F" w:rsidP="003E452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Progettazione esecutiva e progettazione sicurezza in fase progettuale con opzione della direzione dei lavori e coordinamento sicurezza nella fase esecutiva per i lavori Risanamento e manutenzione straordinaria dell'IceForum Laces</w:t>
            </w:r>
          </w:p>
        </w:tc>
      </w:tr>
      <w:tr w:rsidR="00917C5F" w:rsidRPr="00AD7D87" w14:paraId="25BB482E" w14:textId="77777777" w:rsidTr="003E4526">
        <w:trPr>
          <w:trHeight w:val="20"/>
        </w:trPr>
        <w:tc>
          <w:tcPr>
            <w:tcW w:w="32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33CC868" w14:textId="14392246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801E041" w14:textId="3F558F12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B050726" w14:textId="567A04B1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394.688</w:t>
            </w:r>
          </w:p>
        </w:tc>
        <w:tc>
          <w:tcPr>
            <w:tcW w:w="5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AF023C1" w14:textId="479D9809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23/07/2025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99892FC" w14:textId="2D798D5B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RFI SpA</w:t>
            </w:r>
          </w:p>
        </w:tc>
        <w:tc>
          <w:tcPr>
            <w:tcW w:w="24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0D4B885E" w14:textId="6F3A3BE8" w:rsidR="003E4526" w:rsidRPr="00AD7D87" w:rsidRDefault="00917C5F" w:rsidP="003E452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DAC.0455.2025 per l'affidamento del Servizio di Collaudo Tecnico Amministrativo dei lavori di "Progettazione esecutiva e l'esecuzione in appalto dei lavori di realizzazione del raddoppio della tratta ferroviaria PM228 – Albacina, sulla linea Orte – Falconara" ai sensi degli artt. 72 e 165 del D. Lgs. 36/2023</w:t>
            </w:r>
          </w:p>
        </w:tc>
      </w:tr>
      <w:tr w:rsidR="00917C5F" w:rsidRPr="00AD7D87" w14:paraId="671F0290" w14:textId="77777777" w:rsidTr="003E4526">
        <w:trPr>
          <w:trHeight w:val="20"/>
        </w:trPr>
        <w:tc>
          <w:tcPr>
            <w:tcW w:w="32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CCCD1DF" w14:textId="2370558B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93480C3" w14:textId="733BDFBE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Pavia</w:t>
            </w:r>
          </w:p>
        </w:tc>
        <w:tc>
          <w:tcPr>
            <w:tcW w:w="5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E3C6C78" w14:textId="2E90DC87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389.672</w:t>
            </w:r>
          </w:p>
        </w:tc>
        <w:tc>
          <w:tcPr>
            <w:tcW w:w="5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19F0D7" w14:textId="02C72D22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28/07/2025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393940" w14:textId="6485B1FD" w:rsidR="00917C5F" w:rsidRPr="007157F6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Comune di Pavia</w:t>
            </w:r>
          </w:p>
        </w:tc>
        <w:tc>
          <w:tcPr>
            <w:tcW w:w="24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6B564196" w14:textId="3598E2C4" w:rsidR="00917C5F" w:rsidRPr="00AD7D87" w:rsidRDefault="00917C5F" w:rsidP="003E452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Servizio di architettura ed ingegneria per la redazione del progetto di fattibilità tecnica ed economica, progetto esecutivo e il coordinamento della sicurezza in fase di progettazione esecutiva dell'intervento nuova scuola secondaria di primo grado Leonardo da Vinci [POP163].</w:t>
            </w:r>
          </w:p>
        </w:tc>
      </w:tr>
      <w:tr w:rsidR="00917C5F" w:rsidRPr="00AD7D87" w14:paraId="4AD43CAC" w14:textId="77777777" w:rsidTr="003E4526">
        <w:trPr>
          <w:trHeight w:val="20"/>
        </w:trPr>
        <w:tc>
          <w:tcPr>
            <w:tcW w:w="32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BB23DE2" w14:textId="2F9FF93F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4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37D2C9" w14:textId="50769664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Trento</w:t>
            </w:r>
          </w:p>
        </w:tc>
        <w:tc>
          <w:tcPr>
            <w:tcW w:w="5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9E573E" w14:textId="3A747FCB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363.799</w:t>
            </w:r>
          </w:p>
        </w:tc>
        <w:tc>
          <w:tcPr>
            <w:tcW w:w="5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D85A06B" w14:textId="0CEFA434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01/08/2025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A67F9DE" w14:textId="6E429D62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Provincia Autonoma di Trento</w:t>
            </w:r>
          </w:p>
        </w:tc>
        <w:tc>
          <w:tcPr>
            <w:tcW w:w="24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11E9A10D" w14:textId="7381878C" w:rsidR="00917C5F" w:rsidRPr="00AD7D87" w:rsidRDefault="00917C5F" w:rsidP="003E452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AT514-25 Affidamento del progetto di fattibilità tecnico economica comprensivo delle prime indicazioni per la stesura del piano di sicurezza e coordinamento e progetto esecutivo comprensivo di piano di sicurezza e coordinamento, per i lavori di realizzazione Opera S-798- Variante di Castel Tesino.</w:t>
            </w:r>
          </w:p>
        </w:tc>
      </w:tr>
      <w:tr w:rsidR="00917C5F" w:rsidRPr="00AD7D87" w14:paraId="404702A2" w14:textId="77777777" w:rsidTr="003E4526">
        <w:trPr>
          <w:trHeight w:val="20"/>
        </w:trPr>
        <w:tc>
          <w:tcPr>
            <w:tcW w:w="32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B28813A" w14:textId="39529C31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354889" w14:textId="0810B34A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Lucca</w:t>
            </w:r>
          </w:p>
        </w:tc>
        <w:tc>
          <w:tcPr>
            <w:tcW w:w="5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72C99CB" w14:textId="328E161E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348.746</w:t>
            </w:r>
          </w:p>
        </w:tc>
        <w:tc>
          <w:tcPr>
            <w:tcW w:w="5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514DB68" w14:textId="05A6BE96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04/08/2025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321CBE" w14:textId="7B1DAB2B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Comune di Viareggio</w:t>
            </w:r>
          </w:p>
        </w:tc>
        <w:tc>
          <w:tcPr>
            <w:tcW w:w="24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69857784" w14:textId="7A61A243" w:rsidR="00917C5F" w:rsidRPr="00AD7D87" w:rsidRDefault="00917C5F" w:rsidP="003E452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Servizio di direzione dei lavori di riqualificazione generale del mercato di Piazza Cavour</w:t>
            </w:r>
          </w:p>
        </w:tc>
      </w:tr>
      <w:tr w:rsidR="00917C5F" w:rsidRPr="00AD7D87" w14:paraId="23205E37" w14:textId="77777777" w:rsidTr="003E4526">
        <w:trPr>
          <w:trHeight w:val="20"/>
        </w:trPr>
        <w:tc>
          <w:tcPr>
            <w:tcW w:w="328" w:type="pct"/>
            <w:tcBorders>
              <w:top w:val="single" w:sz="4" w:space="0" w:color="BFBFBF" w:themeColor="background1" w:themeShade="BF"/>
              <w:left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F3CC81B" w14:textId="632E818D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E95A1C" w14:textId="64F134D4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Ancona</w:t>
            </w:r>
          </w:p>
        </w:tc>
        <w:tc>
          <w:tcPr>
            <w:tcW w:w="5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732D683" w14:textId="3CC1E488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330.000</w:t>
            </w:r>
          </w:p>
        </w:tc>
        <w:tc>
          <w:tcPr>
            <w:tcW w:w="5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45C409F" w14:textId="576FB89B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28/07/2025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227F637" w14:textId="02AB992D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Regione Marche</w:t>
            </w:r>
          </w:p>
        </w:tc>
        <w:tc>
          <w:tcPr>
            <w:tcW w:w="24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621D8FBE" w14:textId="71B492A0" w:rsidR="00917C5F" w:rsidRPr="00AD7D87" w:rsidRDefault="00917C5F" w:rsidP="003E452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Servizio di redazione del Piano Regolatore Generale degli Acquedotti della Regione Marche</w:t>
            </w:r>
          </w:p>
        </w:tc>
      </w:tr>
      <w:tr w:rsidR="00A477F0" w:rsidRPr="00AD7D87" w14:paraId="5D49B6BD" w14:textId="77777777" w:rsidTr="003E4526">
        <w:trPr>
          <w:trHeight w:val="567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7E7A8F7" w14:textId="0D806CAA" w:rsidR="00A477F0" w:rsidRPr="00C5356E" w:rsidRDefault="00A477F0" w:rsidP="003E4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C5356E">
              <w:rPr>
                <w:rFonts w:ascii="Calibri" w:eastAsia="Times New Roman" w:hAnsi="Calibri" w:cs="Calibri"/>
                <w:b/>
                <w:bCs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Altri</w:t>
            </w:r>
            <w:proofErr w:type="spellEnd"/>
            <w:r w:rsidRPr="00C5356E">
              <w:rPr>
                <w:rFonts w:ascii="Calibri" w:eastAsia="Times New Roman" w:hAnsi="Calibri" w:cs="Calibri"/>
                <w:b/>
                <w:bCs/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C5356E">
              <w:rPr>
                <w:rFonts w:ascii="Calibri" w:eastAsia="Times New Roman" w:hAnsi="Calibri" w:cs="Calibri"/>
                <w:b/>
                <w:bCs/>
                <w:noProof w:val="0"/>
                <w:kern w:val="0"/>
                <w:sz w:val="24"/>
                <w:szCs w:val="24"/>
                <w:lang w:val="en-US"/>
                <w14:ligatures w14:val="none"/>
              </w:rPr>
              <w:t>bandi</w:t>
            </w:r>
            <w:proofErr w:type="spellEnd"/>
          </w:p>
        </w:tc>
      </w:tr>
      <w:tr w:rsidR="00917C5F" w:rsidRPr="00AD7D87" w14:paraId="3B0DE8C8" w14:textId="77777777" w:rsidTr="003E4526">
        <w:trPr>
          <w:trHeight w:val="20"/>
        </w:trPr>
        <w:tc>
          <w:tcPr>
            <w:tcW w:w="328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CB36ED" w14:textId="24DE537B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0037724D">
              <w:rPr>
                <w:rFonts w:ascii="Calibri" w:hAnsi="Calibri" w:cs="Calibri"/>
                <w:sz w:val="20"/>
                <w:szCs w:val="20"/>
              </w:rPr>
              <w:t>Altri bandi</w:t>
            </w:r>
          </w:p>
        </w:tc>
        <w:tc>
          <w:tcPr>
            <w:tcW w:w="492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D6C12D0" w14:textId="7FBBDE06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Foggia</w:t>
            </w:r>
          </w:p>
        </w:tc>
        <w:tc>
          <w:tcPr>
            <w:tcW w:w="547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61AAE0D" w14:textId="1EE71B06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293.889</w:t>
            </w:r>
          </w:p>
        </w:tc>
        <w:tc>
          <w:tcPr>
            <w:tcW w:w="547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893DF33" w14:textId="7C8B970D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22/07/2025</w:t>
            </w:r>
          </w:p>
        </w:tc>
        <w:tc>
          <w:tcPr>
            <w:tcW w:w="602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E65D06" w14:textId="0C200627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Consorzio ASI di Foggia</w:t>
            </w:r>
          </w:p>
        </w:tc>
        <w:tc>
          <w:tcPr>
            <w:tcW w:w="2484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4F8BA38B" w14:textId="645EABFF" w:rsidR="00917C5F" w:rsidRPr="00AD7D87" w:rsidRDefault="00917C5F" w:rsidP="003E452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Procedura aperta per l'affidamento dei servizi tecnici di ingegneria e architettura per la direzione dei lavori (misura e contabilità) e coordinamento della sicurezza in fase di esecuzione dell'intervento denominato "FSC 2014-2020 Patto per lo sviluppo della Regione Puglia. Realizzazione della piattaforma logistica integrata ferroviaria Incoronata: lotto II (superfici coperte) CUP (Master) H71C18000050002_ CUP (Collegato) H71C18000060003</w:t>
            </w:r>
          </w:p>
        </w:tc>
      </w:tr>
      <w:tr w:rsidR="00917C5F" w:rsidRPr="00AD7D87" w14:paraId="542C2A6A" w14:textId="77777777" w:rsidTr="003E4526">
        <w:trPr>
          <w:trHeight w:val="20"/>
        </w:trPr>
        <w:tc>
          <w:tcPr>
            <w:tcW w:w="32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A81FF8" w14:textId="19D3DE15" w:rsidR="00917C5F" w:rsidRPr="00A477F0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14:ligatures w14:val="none"/>
              </w:rPr>
            </w:pPr>
            <w:r w:rsidRPr="0037724D">
              <w:rPr>
                <w:rFonts w:ascii="Calibri" w:hAnsi="Calibri" w:cs="Calibri"/>
                <w:sz w:val="20"/>
                <w:szCs w:val="20"/>
              </w:rPr>
              <w:t>Altri bandi</w:t>
            </w:r>
          </w:p>
        </w:tc>
        <w:tc>
          <w:tcPr>
            <w:tcW w:w="4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E364F9B" w14:textId="5943059F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Venezia</w:t>
            </w:r>
          </w:p>
        </w:tc>
        <w:tc>
          <w:tcPr>
            <w:tcW w:w="5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498D6E3" w14:textId="33AE548B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283.047</w:t>
            </w:r>
          </w:p>
        </w:tc>
        <w:tc>
          <w:tcPr>
            <w:tcW w:w="5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6787364" w14:textId="669E467C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31/07/2025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5EFB4A0" w14:textId="4AD1893C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Comune di San Michele al Tagliamento</w:t>
            </w:r>
          </w:p>
        </w:tc>
        <w:tc>
          <w:tcPr>
            <w:tcW w:w="24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57F103D0" w14:textId="560FBD40" w:rsidR="00917C5F" w:rsidRPr="00AD7D87" w:rsidRDefault="00917C5F" w:rsidP="003E452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Servizio di progettazione di fattibilità tecnica ed economica ed esecutiva, direzione dei lavori e coordinamento per la sicurezza in fase di progettazione e di esecuzione nell'ambito dell'intervento denominato ridistribuzione interna dei locali spogliatoi, copertura ed impermeabilizzazione della tribuna presso l'impianto sportivo – Località Bibione.</w:t>
            </w:r>
          </w:p>
        </w:tc>
      </w:tr>
      <w:tr w:rsidR="00917C5F" w:rsidRPr="00AD7D87" w14:paraId="3A6A6579" w14:textId="77777777" w:rsidTr="003E4526">
        <w:trPr>
          <w:trHeight w:val="20"/>
        </w:trPr>
        <w:tc>
          <w:tcPr>
            <w:tcW w:w="32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63F4E8" w14:textId="21222E00" w:rsidR="00917C5F" w:rsidRPr="00A477F0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14:ligatures w14:val="none"/>
              </w:rPr>
            </w:pPr>
            <w:r w:rsidRPr="0037724D">
              <w:rPr>
                <w:rFonts w:ascii="Calibri" w:hAnsi="Calibri" w:cs="Calibri"/>
                <w:sz w:val="20"/>
                <w:szCs w:val="20"/>
              </w:rPr>
              <w:t>Altri bandi</w:t>
            </w:r>
          </w:p>
        </w:tc>
        <w:tc>
          <w:tcPr>
            <w:tcW w:w="4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6DDD788" w14:textId="7C4625FD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Pavia</w:t>
            </w:r>
          </w:p>
        </w:tc>
        <w:tc>
          <w:tcPr>
            <w:tcW w:w="5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A241CA" w14:textId="00C78F46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236.878</w:t>
            </w:r>
          </w:p>
        </w:tc>
        <w:tc>
          <w:tcPr>
            <w:tcW w:w="5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6C2C3DE" w14:textId="02B9D298" w:rsidR="00917C5F" w:rsidRPr="00AD7D87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03/07/2025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8E0DB2F" w14:textId="3A7D2948" w:rsidR="00917C5F" w:rsidRPr="00BA500C" w:rsidRDefault="00917C5F" w:rsidP="00917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Provincia di Pavia</w:t>
            </w:r>
          </w:p>
        </w:tc>
        <w:tc>
          <w:tcPr>
            <w:tcW w:w="24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65459B79" w14:textId="5F7710F4" w:rsidR="00917C5F" w:rsidRPr="00AD7D87" w:rsidRDefault="00917C5F" w:rsidP="003E452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Id Sintel 204126381 - Incarico di collaudatore statico dell'intervento denominato: SP 151 Trovo Battuda intervento di manutenzione straordinaria del Ponte in località Torrino.</w:t>
            </w:r>
          </w:p>
        </w:tc>
      </w:tr>
      <w:tr w:rsidR="00917C5F" w:rsidRPr="00AD7D87" w14:paraId="712BA90A" w14:textId="77777777" w:rsidTr="003E4526">
        <w:trPr>
          <w:trHeight w:val="20"/>
        </w:trPr>
        <w:tc>
          <w:tcPr>
            <w:tcW w:w="32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463C88" w14:textId="374B8799" w:rsidR="00917C5F" w:rsidRDefault="00917C5F" w:rsidP="00917C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724D">
              <w:rPr>
                <w:rFonts w:ascii="Calibri" w:hAnsi="Calibri" w:cs="Calibri"/>
                <w:sz w:val="20"/>
                <w:szCs w:val="20"/>
              </w:rPr>
              <w:t>Altri bandi</w:t>
            </w:r>
          </w:p>
        </w:tc>
        <w:tc>
          <w:tcPr>
            <w:tcW w:w="4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8CF843" w14:textId="20226F71" w:rsidR="00917C5F" w:rsidRDefault="00917C5F" w:rsidP="00917C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Agrigento</w:t>
            </w:r>
          </w:p>
        </w:tc>
        <w:tc>
          <w:tcPr>
            <w:tcW w:w="5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1CE76D" w14:textId="52D60EC0" w:rsidR="00917C5F" w:rsidRDefault="00917C5F" w:rsidP="00917C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230.507</w:t>
            </w:r>
          </w:p>
        </w:tc>
        <w:tc>
          <w:tcPr>
            <w:tcW w:w="5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E70635" w14:textId="2A62FD9E" w:rsidR="00917C5F" w:rsidRDefault="00917C5F" w:rsidP="00917C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31/07/2025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E5EF47" w14:textId="5D3505BF" w:rsidR="00917C5F" w:rsidRDefault="00917C5F" w:rsidP="00917C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Ministero MIT - Provveditorato Interregionale per le Opere Pubbliche Sicilia e Calabria</w:t>
            </w:r>
          </w:p>
        </w:tc>
        <w:tc>
          <w:tcPr>
            <w:tcW w:w="24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7195056" w14:textId="1CD8932C" w:rsidR="00917C5F" w:rsidRDefault="00917C5F" w:rsidP="003E452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Servizio di ingegneria e architettura per l'esecuzione del progetto di fattibilità tecnica ed economica (P.F.T.E.), progettazione esecutiva (P.E.), coordinamento della sicurezza in fase di progettazione (C.S.P.) e direzione lavori (D.L.) per i lavori di adeguamento funzionale e strutturale della Casa Circondariale di Sciacca.</w:t>
            </w:r>
          </w:p>
        </w:tc>
      </w:tr>
      <w:tr w:rsidR="00917C5F" w:rsidRPr="00AD7D87" w14:paraId="4E43D606" w14:textId="77777777" w:rsidTr="003E4526">
        <w:trPr>
          <w:trHeight w:val="20"/>
        </w:trPr>
        <w:tc>
          <w:tcPr>
            <w:tcW w:w="32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00CE82" w14:textId="679DCB00" w:rsidR="00917C5F" w:rsidRDefault="00917C5F" w:rsidP="00917C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724D">
              <w:rPr>
                <w:rFonts w:ascii="Calibri" w:hAnsi="Calibri" w:cs="Calibri"/>
                <w:sz w:val="20"/>
                <w:szCs w:val="20"/>
              </w:rPr>
              <w:t>Altri bandi</w:t>
            </w:r>
          </w:p>
        </w:tc>
        <w:tc>
          <w:tcPr>
            <w:tcW w:w="4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FF1E07" w14:textId="090865AF" w:rsidR="00917C5F" w:rsidRDefault="00917C5F" w:rsidP="00917C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Catania</w:t>
            </w:r>
          </w:p>
        </w:tc>
        <w:tc>
          <w:tcPr>
            <w:tcW w:w="5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2FD35A" w14:textId="66AE31B1" w:rsidR="00917C5F" w:rsidRDefault="00917C5F" w:rsidP="00917C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212.749</w:t>
            </w:r>
          </w:p>
        </w:tc>
        <w:tc>
          <w:tcPr>
            <w:tcW w:w="5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CBF13F" w14:textId="1B465096" w:rsidR="00917C5F" w:rsidRDefault="00917C5F" w:rsidP="00917C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29/07/2025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F2D7A8" w14:textId="40E10FAA" w:rsidR="00917C5F" w:rsidRDefault="00917C5F" w:rsidP="00917C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Commissario Dissesto Idrogeologico nella Regione Siciliana</w:t>
            </w:r>
          </w:p>
        </w:tc>
        <w:tc>
          <w:tcPr>
            <w:tcW w:w="24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C47EC5F" w14:textId="13FD0BA9" w:rsidR="00917C5F" w:rsidRDefault="00917C5F" w:rsidP="003E452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FSC 21-27 - CT_37089 - Motta Sant'Anastasia - MISE dissesto in località - Nord Est abitato. Codice Caronte SI_1_37089. Progetto di fattibilità tecnica economica, V.P.I.A., coordinamento della sicurezza in fase di progettazione.</w:t>
            </w:r>
          </w:p>
        </w:tc>
      </w:tr>
      <w:tr w:rsidR="00917C5F" w:rsidRPr="00AD7D87" w14:paraId="42527D2E" w14:textId="77777777" w:rsidTr="003E4526">
        <w:trPr>
          <w:trHeight w:val="20"/>
        </w:trPr>
        <w:tc>
          <w:tcPr>
            <w:tcW w:w="32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768909" w14:textId="2B81B7B6" w:rsidR="00917C5F" w:rsidRDefault="00917C5F" w:rsidP="00917C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724D">
              <w:rPr>
                <w:rFonts w:ascii="Calibri" w:hAnsi="Calibri" w:cs="Calibri"/>
                <w:sz w:val="20"/>
                <w:szCs w:val="20"/>
              </w:rPr>
              <w:t>Altri bandi</w:t>
            </w:r>
          </w:p>
        </w:tc>
        <w:tc>
          <w:tcPr>
            <w:tcW w:w="4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73E47B" w14:textId="53C91807" w:rsidR="00917C5F" w:rsidRDefault="00917C5F" w:rsidP="00917C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Trento</w:t>
            </w:r>
          </w:p>
        </w:tc>
        <w:tc>
          <w:tcPr>
            <w:tcW w:w="5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10FDBA" w14:textId="2A46407A" w:rsidR="00917C5F" w:rsidRDefault="00917C5F" w:rsidP="00917C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204.524</w:t>
            </w:r>
          </w:p>
        </w:tc>
        <w:tc>
          <w:tcPr>
            <w:tcW w:w="5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E2A780" w14:textId="6177E058" w:rsidR="00917C5F" w:rsidRDefault="00917C5F" w:rsidP="00917C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25/07/2025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40DF06" w14:textId="78FFF5A9" w:rsidR="00917C5F" w:rsidRDefault="00917C5F" w:rsidP="00917C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Provincia Autonoma di Trento</w:t>
            </w:r>
          </w:p>
        </w:tc>
        <w:tc>
          <w:tcPr>
            <w:tcW w:w="24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DB8B708" w14:textId="6B430E73" w:rsidR="00917C5F" w:rsidRDefault="00917C5F" w:rsidP="003E452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Invito ( PI199342-25 ) NT1269-25 Affidamento del servizio di coordinamento della sicurezza in fase di esecuzione relativamente alla realizzazione della "Nuova sede della scuola secondaria di primo grado B. Malfatti di Mori (TN) - unità funzionale n.1" SIIP ES-34/000</w:t>
            </w:r>
          </w:p>
        </w:tc>
      </w:tr>
      <w:tr w:rsidR="00917C5F" w:rsidRPr="00AD7D87" w14:paraId="00954C00" w14:textId="77777777" w:rsidTr="003E4526">
        <w:trPr>
          <w:trHeight w:val="20"/>
        </w:trPr>
        <w:tc>
          <w:tcPr>
            <w:tcW w:w="32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750757" w14:textId="2A718C7F" w:rsidR="00917C5F" w:rsidRDefault="00917C5F" w:rsidP="00917C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724D">
              <w:rPr>
                <w:rFonts w:ascii="Calibri" w:hAnsi="Calibri" w:cs="Calibri"/>
                <w:sz w:val="20"/>
                <w:szCs w:val="20"/>
              </w:rPr>
              <w:t>Altri bandi</w:t>
            </w:r>
          </w:p>
        </w:tc>
        <w:tc>
          <w:tcPr>
            <w:tcW w:w="4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A75CAF" w14:textId="1984E30B" w:rsidR="00917C5F" w:rsidRDefault="00917C5F" w:rsidP="00917C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Messina</w:t>
            </w:r>
          </w:p>
        </w:tc>
        <w:tc>
          <w:tcPr>
            <w:tcW w:w="5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9B9BBC" w14:textId="158F0011" w:rsidR="00917C5F" w:rsidRDefault="00917C5F" w:rsidP="00917C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180.000</w:t>
            </w:r>
          </w:p>
        </w:tc>
        <w:tc>
          <w:tcPr>
            <w:tcW w:w="5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B2665F" w14:textId="35E2FDBA" w:rsidR="00917C5F" w:rsidRDefault="00917C5F" w:rsidP="00917C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17/07/2025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0E13A4" w14:textId="27DBB04C" w:rsidR="00917C5F" w:rsidRDefault="00917C5F" w:rsidP="00917C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Città Metropolitana di Messina</w:t>
            </w:r>
          </w:p>
        </w:tc>
        <w:tc>
          <w:tcPr>
            <w:tcW w:w="24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8145F35" w14:textId="562B602F" w:rsidR="00917C5F" w:rsidRDefault="00917C5F" w:rsidP="003E452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Supporto specialistico per il miglioramento della capacità amministrativa e tecnica nella progettazione, attuazione, gestione e nel monitoraggio degli interventi di investimento pubblico di edilizia scolastica inseriti nella programmazione dell'ente.</w:t>
            </w:r>
          </w:p>
        </w:tc>
      </w:tr>
      <w:tr w:rsidR="00917C5F" w:rsidRPr="00AD7D87" w14:paraId="2AF479B9" w14:textId="77777777" w:rsidTr="003E4526">
        <w:trPr>
          <w:trHeight w:val="20"/>
        </w:trPr>
        <w:tc>
          <w:tcPr>
            <w:tcW w:w="328" w:type="pct"/>
            <w:tcBorders>
              <w:top w:val="single" w:sz="4" w:space="0" w:color="BFBFBF" w:themeColor="background1" w:themeShade="BF"/>
              <w:left w:val="nil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914402" w14:textId="6127B3A2" w:rsidR="00917C5F" w:rsidRDefault="00917C5F" w:rsidP="00917C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724D">
              <w:rPr>
                <w:rFonts w:ascii="Calibri" w:hAnsi="Calibri" w:cs="Calibri"/>
                <w:sz w:val="20"/>
                <w:szCs w:val="20"/>
              </w:rPr>
              <w:t>Altri bandi</w:t>
            </w:r>
          </w:p>
        </w:tc>
        <w:tc>
          <w:tcPr>
            <w:tcW w:w="4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EB00C8" w14:textId="35499E7F" w:rsidR="00917C5F" w:rsidRDefault="00917C5F" w:rsidP="00917C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Roma - Napoli - Milano - Torino</w:t>
            </w:r>
          </w:p>
        </w:tc>
        <w:tc>
          <w:tcPr>
            <w:tcW w:w="5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89C802" w14:textId="430D7A17" w:rsidR="00917C5F" w:rsidRDefault="00917C5F" w:rsidP="00917C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142.108</w:t>
            </w:r>
          </w:p>
        </w:tc>
        <w:tc>
          <w:tcPr>
            <w:tcW w:w="5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CAB5EB" w14:textId="76DDF924" w:rsidR="00917C5F" w:rsidRDefault="00917C5F" w:rsidP="00917C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09/07/2025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B1ACE6" w14:textId="5F660E57" w:rsidR="00917C5F" w:rsidRDefault="00917C5F" w:rsidP="00917C5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RAI SpA</w:t>
            </w:r>
          </w:p>
        </w:tc>
        <w:tc>
          <w:tcPr>
            <w:tcW w:w="24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542B3B1" w14:textId="7D5981ED" w:rsidR="00917C5F" w:rsidRDefault="00917C5F" w:rsidP="003E452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Gara in 2 lotti - Servizio di verifiche periodiche degli impianti elettrici, di messa a terra, di protezione contro le scariche atmosferiche e degli impianti elevatori installati presso gli insediamenti della Rai - Lotto 1 insediamenti Rai di Roma, Napoli, Milano e Torino</w:t>
            </w:r>
          </w:p>
        </w:tc>
      </w:tr>
    </w:tbl>
    <w:p w14:paraId="3BF6ADCF" w14:textId="5140CF57" w:rsidR="00B36A9A" w:rsidRDefault="00BE484B" w:rsidP="00C5356E">
      <w:pPr>
        <w:tabs>
          <w:tab w:val="left" w:pos="11101"/>
        </w:tabs>
        <w:spacing w:after="0" w:line="240" w:lineRule="auto"/>
      </w:pPr>
      <w:r w:rsidRPr="00AD7D87">
        <w:rPr>
          <w:rFonts w:ascii="Calibri" w:eastAsia="Times New Roman" w:hAnsi="Calibri" w:cs="Calibri"/>
          <w:noProof w:val="0"/>
          <w:color w:val="000000"/>
          <w:kern w:val="0"/>
          <w:sz w:val="24"/>
          <w:szCs w:val="24"/>
          <w14:ligatures w14:val="none"/>
        </w:rPr>
        <w:t>Fonte: ONSAI 2020 - Osservatorio Nazionale Servizi Architettura e Ingegneria CNAPPC-CRESME ES</w:t>
      </w:r>
    </w:p>
    <w:sectPr w:rsidR="00B36A9A" w:rsidSect="00AD7D87">
      <w:pgSz w:w="15840" w:h="12240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87"/>
    <w:rsid w:val="002D6B7D"/>
    <w:rsid w:val="00383B15"/>
    <w:rsid w:val="00396EFB"/>
    <w:rsid w:val="003E2B00"/>
    <w:rsid w:val="003E4526"/>
    <w:rsid w:val="005136B5"/>
    <w:rsid w:val="00514329"/>
    <w:rsid w:val="00681AD3"/>
    <w:rsid w:val="007157F6"/>
    <w:rsid w:val="007358E4"/>
    <w:rsid w:val="0089490D"/>
    <w:rsid w:val="008C06BF"/>
    <w:rsid w:val="00917C5F"/>
    <w:rsid w:val="00A477F0"/>
    <w:rsid w:val="00A72F02"/>
    <w:rsid w:val="00A849EE"/>
    <w:rsid w:val="00AD108D"/>
    <w:rsid w:val="00AD7D87"/>
    <w:rsid w:val="00B36A9A"/>
    <w:rsid w:val="00BA500C"/>
    <w:rsid w:val="00BB7A45"/>
    <w:rsid w:val="00BE484B"/>
    <w:rsid w:val="00C11B2F"/>
    <w:rsid w:val="00C5356E"/>
    <w:rsid w:val="00DC4250"/>
    <w:rsid w:val="00DF6955"/>
    <w:rsid w:val="00E45FCE"/>
    <w:rsid w:val="00E471F6"/>
    <w:rsid w:val="00E84F0C"/>
    <w:rsid w:val="00F66DC9"/>
    <w:rsid w:val="00F7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1FA7"/>
  <w15:chartTrackingRefBased/>
  <w15:docId w15:val="{2A929CD5-229E-4CB1-9251-72EB88FD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7D87"/>
    <w:rPr>
      <w:noProof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7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D7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7D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D7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D7D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D7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D7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D7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D7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7D87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D7D87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7D87"/>
    <w:rPr>
      <w:rFonts w:eastAsiaTheme="majorEastAsia" w:cstheme="majorBidi"/>
      <w:noProof/>
      <w:color w:val="2F5496" w:themeColor="accent1" w:themeShade="BF"/>
      <w:sz w:val="28"/>
      <w:szCs w:val="2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D7D87"/>
    <w:rPr>
      <w:rFonts w:eastAsiaTheme="majorEastAsia" w:cstheme="majorBidi"/>
      <w:i/>
      <w:iCs/>
      <w:noProof/>
      <w:color w:val="2F5496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D7D87"/>
    <w:rPr>
      <w:rFonts w:eastAsiaTheme="majorEastAsia" w:cstheme="majorBidi"/>
      <w:noProof/>
      <w:color w:val="2F5496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D7D87"/>
    <w:rPr>
      <w:rFonts w:eastAsiaTheme="majorEastAsia" w:cstheme="majorBidi"/>
      <w:i/>
      <w:iCs/>
      <w:noProof/>
      <w:color w:val="595959" w:themeColor="text1" w:themeTint="A6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D7D87"/>
    <w:rPr>
      <w:rFonts w:eastAsiaTheme="majorEastAsia" w:cstheme="majorBidi"/>
      <w:noProof/>
      <w:color w:val="595959" w:themeColor="text1" w:themeTint="A6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D7D87"/>
    <w:rPr>
      <w:rFonts w:eastAsiaTheme="majorEastAsia" w:cstheme="majorBidi"/>
      <w:i/>
      <w:iCs/>
      <w:noProof/>
      <w:color w:val="272727" w:themeColor="text1" w:themeTint="D8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D7D87"/>
    <w:rPr>
      <w:rFonts w:eastAsiaTheme="majorEastAsia" w:cstheme="majorBidi"/>
      <w:noProof/>
      <w:color w:val="272727" w:themeColor="text1" w:themeTint="D8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7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D7D87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D7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D7D87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D7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D7D87"/>
    <w:rPr>
      <w:i/>
      <w:iCs/>
      <w:noProof/>
      <w:color w:val="404040" w:themeColor="text1" w:themeTint="BF"/>
      <w:lang w:val="it-IT"/>
    </w:rPr>
  </w:style>
  <w:style w:type="paragraph" w:styleId="Paragrafoelenco">
    <w:name w:val="List Paragraph"/>
    <w:basedOn w:val="Normale"/>
    <w:uiPriority w:val="34"/>
    <w:qFormat/>
    <w:rsid w:val="00AD7D8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D7D8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D7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D7D87"/>
    <w:rPr>
      <w:i/>
      <w:iCs/>
      <w:noProof/>
      <w:color w:val="2F5496" w:themeColor="accent1" w:themeShade="BF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AD7D87"/>
    <w:rPr>
      <w:b/>
      <w:bCs/>
      <w:smallCaps/>
      <w:color w:val="2F5496" w:themeColor="accent1" w:themeShade="BF"/>
      <w:spacing w:val="5"/>
    </w:rPr>
  </w:style>
  <w:style w:type="paragraph" w:customStyle="1" w:styleId="fontec">
    <w:name w:val="fonte_c"/>
    <w:basedOn w:val="Normale"/>
    <w:next w:val="Normale"/>
    <w:qFormat/>
    <w:rsid w:val="00AD7D87"/>
    <w:pPr>
      <w:spacing w:after="0" w:line="240" w:lineRule="auto"/>
      <w:jc w:val="both"/>
    </w:pPr>
    <w:rPr>
      <w:rFonts w:cstheme="minorHAnsi"/>
      <w:i/>
      <w:noProof w:val="0"/>
      <w:color w:val="000000" w:themeColor="text1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Tascedda</dc:creator>
  <cp:keywords/>
  <dc:description/>
  <cp:lastModifiedBy>Giorgio Santilli</cp:lastModifiedBy>
  <cp:revision>2</cp:revision>
  <dcterms:created xsi:type="dcterms:W3CDTF">2025-06-29T09:42:00Z</dcterms:created>
  <dcterms:modified xsi:type="dcterms:W3CDTF">2025-06-29T09:42:00Z</dcterms:modified>
</cp:coreProperties>
</file>