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6EC" w14:textId="688824A0" w:rsidR="00AD7D87" w:rsidRDefault="00AD7D87" w:rsidP="00AD7D87">
      <w:pPr>
        <w:pStyle w:val="fontec"/>
        <w:rPr>
          <w:b/>
          <w:bCs/>
          <w:sz w:val="24"/>
          <w:szCs w:val="24"/>
        </w:rPr>
      </w:pPr>
      <w:r w:rsidRPr="00EF5304">
        <w:rPr>
          <w:b/>
          <w:bCs/>
          <w:sz w:val="24"/>
          <w:szCs w:val="24"/>
        </w:rPr>
        <w:t xml:space="preserve">Bandi SAI </w:t>
      </w:r>
      <w:r>
        <w:rPr>
          <w:b/>
          <w:bCs/>
          <w:sz w:val="24"/>
          <w:szCs w:val="24"/>
        </w:rPr>
        <w:t xml:space="preserve">di importo superiore a 140mila euro </w:t>
      </w:r>
      <w:r w:rsidRPr="00EF5304">
        <w:rPr>
          <w:b/>
          <w:bCs/>
          <w:sz w:val="24"/>
          <w:szCs w:val="24"/>
        </w:rPr>
        <w:t xml:space="preserve">settimana </w:t>
      </w:r>
      <w:r w:rsidR="00A477F0">
        <w:rPr>
          <w:b/>
          <w:bCs/>
          <w:sz w:val="24"/>
          <w:szCs w:val="24"/>
        </w:rPr>
        <w:t xml:space="preserve">31 </w:t>
      </w:r>
      <w:r w:rsidRPr="00EF5304">
        <w:rPr>
          <w:b/>
          <w:bCs/>
          <w:sz w:val="24"/>
          <w:szCs w:val="24"/>
        </w:rPr>
        <w:t>maggio</w:t>
      </w:r>
      <w:r w:rsidR="00A477F0">
        <w:rPr>
          <w:b/>
          <w:bCs/>
          <w:sz w:val="24"/>
          <w:szCs w:val="24"/>
        </w:rPr>
        <w:t>-6 giugno</w:t>
      </w:r>
      <w:r w:rsidRPr="00EF5304">
        <w:rPr>
          <w:b/>
          <w:bCs/>
          <w:sz w:val="24"/>
          <w:szCs w:val="24"/>
        </w:rPr>
        <w:t xml:space="preserve"> 2025</w:t>
      </w:r>
    </w:p>
    <w:p w14:paraId="59EF617E" w14:textId="77777777" w:rsidR="00AD7D87" w:rsidRPr="00EF5304" w:rsidRDefault="00AD7D87" w:rsidP="00AD7D87">
      <w:pPr>
        <w:pStyle w:val="fontec"/>
        <w:rPr>
          <w:sz w:val="24"/>
          <w:szCs w:val="24"/>
        </w:rPr>
      </w:pPr>
      <w:r w:rsidRPr="00EF5304">
        <w:rPr>
          <w:sz w:val="24"/>
          <w:szCs w:val="24"/>
        </w:rPr>
        <w:t>(Fonte: ONSAI 2020 - Osservatorio Nazionale Servizi Architettura e Ingegneria CNAPPC-CRESME ES)</w:t>
      </w:r>
    </w:p>
    <w:tbl>
      <w:tblPr>
        <w:tblW w:w="5000" w:type="pct"/>
        <w:tblLayout w:type="fixed"/>
        <w:tblLook w:val="04A0" w:firstRow="1" w:lastRow="0" w:firstColumn="1" w:lastColumn="0" w:noHBand="0" w:noVBand="1"/>
      </w:tblPr>
      <w:tblGrid>
        <w:gridCol w:w="851"/>
        <w:gridCol w:w="1135"/>
        <w:gridCol w:w="1415"/>
        <w:gridCol w:w="1418"/>
        <w:gridCol w:w="1560"/>
        <w:gridCol w:w="6581"/>
      </w:tblGrid>
      <w:tr w:rsidR="008C06BF" w:rsidRPr="00E45FCE" w14:paraId="7B686CFC" w14:textId="77777777" w:rsidTr="00A477F0">
        <w:trPr>
          <w:trHeight w:val="20"/>
          <w:tblHeader/>
        </w:trPr>
        <w:tc>
          <w:tcPr>
            <w:tcW w:w="328" w:type="pct"/>
            <w:tcBorders>
              <w:top w:val="nil"/>
              <w:left w:val="nil"/>
              <w:bottom w:val="nil"/>
              <w:right w:val="nil"/>
            </w:tcBorders>
            <w:shd w:val="clear" w:color="000000" w:fill="FFC000"/>
            <w:vAlign w:val="center"/>
            <w:hideMark/>
          </w:tcPr>
          <w:p w14:paraId="02D12BCD"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Ambito</w:t>
            </w:r>
            <w:proofErr w:type="spellEnd"/>
          </w:p>
        </w:tc>
        <w:tc>
          <w:tcPr>
            <w:tcW w:w="438" w:type="pct"/>
            <w:tcBorders>
              <w:top w:val="nil"/>
              <w:left w:val="nil"/>
              <w:bottom w:val="nil"/>
              <w:right w:val="nil"/>
            </w:tcBorders>
            <w:shd w:val="clear" w:color="000000" w:fill="FFC000"/>
            <w:vAlign w:val="center"/>
            <w:hideMark/>
          </w:tcPr>
          <w:p w14:paraId="25E985E6"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Provincia </w:t>
            </w:r>
            <w:proofErr w:type="spellStart"/>
            <w:r w:rsidRPr="00E45FCE">
              <w:rPr>
                <w:rFonts w:ascii="Calibri" w:eastAsia="Times New Roman" w:hAnsi="Calibri" w:cs="Calibri"/>
                <w:b/>
                <w:bCs/>
                <w:noProof w:val="0"/>
                <w:color w:val="000000"/>
                <w:kern w:val="0"/>
                <w:sz w:val="18"/>
                <w:szCs w:val="18"/>
                <w:lang w:val="en-US"/>
                <w14:ligatures w14:val="none"/>
              </w:rPr>
              <w:t>esecuzione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lavori</w:t>
            </w:r>
            <w:proofErr w:type="spellEnd"/>
          </w:p>
        </w:tc>
        <w:tc>
          <w:tcPr>
            <w:tcW w:w="546" w:type="pct"/>
            <w:tcBorders>
              <w:top w:val="nil"/>
              <w:left w:val="nil"/>
              <w:bottom w:val="nil"/>
              <w:right w:val="nil"/>
            </w:tcBorders>
            <w:shd w:val="clear" w:color="000000" w:fill="FFC000"/>
            <w:vAlign w:val="center"/>
            <w:hideMark/>
          </w:tcPr>
          <w:p w14:paraId="79040B9C" w14:textId="77777777" w:rsid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Ammontare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corrispettivo</w:t>
            </w:r>
            <w:proofErr w:type="spellEnd"/>
          </w:p>
          <w:p w14:paraId="0AC29356" w14:textId="26E9F90C"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w:t>
            </w:r>
          </w:p>
        </w:tc>
        <w:tc>
          <w:tcPr>
            <w:tcW w:w="547" w:type="pct"/>
            <w:tcBorders>
              <w:top w:val="nil"/>
              <w:left w:val="nil"/>
              <w:bottom w:val="nil"/>
              <w:right w:val="nil"/>
            </w:tcBorders>
            <w:shd w:val="clear" w:color="000000" w:fill="FFC000"/>
            <w:vAlign w:val="center"/>
            <w:hideMark/>
          </w:tcPr>
          <w:p w14:paraId="659B085B"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Termine </w:t>
            </w:r>
            <w:proofErr w:type="spellStart"/>
            <w:r w:rsidRPr="00E45FCE">
              <w:rPr>
                <w:rFonts w:ascii="Calibri" w:eastAsia="Times New Roman" w:hAnsi="Calibri" w:cs="Calibri"/>
                <w:b/>
                <w:bCs/>
                <w:noProof w:val="0"/>
                <w:color w:val="000000"/>
                <w:kern w:val="0"/>
                <w:sz w:val="18"/>
                <w:szCs w:val="18"/>
                <w:lang w:val="en-US"/>
                <w14:ligatures w14:val="none"/>
              </w:rPr>
              <w:t>partecipazione</w:t>
            </w:r>
            <w:proofErr w:type="spellEnd"/>
          </w:p>
        </w:tc>
        <w:tc>
          <w:tcPr>
            <w:tcW w:w="602" w:type="pct"/>
            <w:tcBorders>
              <w:top w:val="nil"/>
              <w:left w:val="nil"/>
              <w:bottom w:val="nil"/>
              <w:right w:val="nil"/>
            </w:tcBorders>
            <w:shd w:val="clear" w:color="000000" w:fill="FFC000"/>
            <w:vAlign w:val="center"/>
            <w:hideMark/>
          </w:tcPr>
          <w:p w14:paraId="079C7B28"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Stazione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appaltante</w:t>
            </w:r>
            <w:proofErr w:type="spellEnd"/>
          </w:p>
        </w:tc>
        <w:tc>
          <w:tcPr>
            <w:tcW w:w="2539" w:type="pct"/>
            <w:tcBorders>
              <w:top w:val="nil"/>
              <w:left w:val="nil"/>
              <w:bottom w:val="nil"/>
              <w:right w:val="nil"/>
            </w:tcBorders>
            <w:shd w:val="clear" w:color="000000" w:fill="FFC000"/>
            <w:vAlign w:val="center"/>
            <w:hideMark/>
          </w:tcPr>
          <w:p w14:paraId="192D56D2"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Oggetto</w:t>
            </w:r>
            <w:proofErr w:type="spellEnd"/>
          </w:p>
        </w:tc>
      </w:tr>
      <w:tr w:rsidR="008C06BF" w:rsidRPr="008C06BF" w14:paraId="405F8DD7" w14:textId="77777777" w:rsidTr="00E45FCE">
        <w:trPr>
          <w:trHeight w:val="567"/>
        </w:trPr>
        <w:tc>
          <w:tcPr>
            <w:tcW w:w="5000" w:type="pct"/>
            <w:gridSpan w:val="6"/>
            <w:tcBorders>
              <w:top w:val="nil"/>
              <w:left w:val="nil"/>
              <w:right w:val="nil"/>
            </w:tcBorders>
            <w:shd w:val="clear" w:color="auto" w:fill="E7E6E6" w:themeFill="background2"/>
            <w:vAlign w:val="center"/>
          </w:tcPr>
          <w:p w14:paraId="66C8CCA4" w14:textId="7DFFB64E" w:rsidR="008C06BF" w:rsidRPr="008C06BF" w:rsidRDefault="008C06BF" w:rsidP="002D6B7D">
            <w:pPr>
              <w:spacing w:after="0" w:line="240" w:lineRule="auto"/>
              <w:jc w:val="both"/>
              <w:rPr>
                <w:rFonts w:ascii="Calibri" w:eastAsia="Times New Roman" w:hAnsi="Calibri" w:cs="Calibri"/>
                <w:noProof w:val="0"/>
                <w:kern w:val="0"/>
                <w:sz w:val="24"/>
                <w:szCs w:val="24"/>
                <w14:ligatures w14:val="none"/>
              </w:rPr>
            </w:pPr>
            <w:r w:rsidRPr="008C06BF">
              <w:rPr>
                <w:rFonts w:ascii="Calibri" w:eastAsia="Times New Roman" w:hAnsi="Calibri" w:cs="Calibri"/>
                <w:b/>
                <w:bCs/>
                <w:noProof w:val="0"/>
                <w:kern w:val="0"/>
                <w:sz w:val="24"/>
                <w:szCs w:val="24"/>
                <w:lang w:val="en-US"/>
                <w14:ligatures w14:val="none"/>
              </w:rPr>
              <w:t xml:space="preserve">TOP </w:t>
            </w:r>
            <w:r>
              <w:rPr>
                <w:rFonts w:ascii="Calibri" w:eastAsia="Times New Roman" w:hAnsi="Calibri" w:cs="Calibri"/>
                <w:b/>
                <w:bCs/>
                <w:noProof w:val="0"/>
                <w:kern w:val="0"/>
                <w:sz w:val="24"/>
                <w:szCs w:val="24"/>
                <w:lang w:val="en-US"/>
                <w14:ligatures w14:val="none"/>
              </w:rPr>
              <w:t>10</w:t>
            </w:r>
            <w:r w:rsidRPr="008C06BF">
              <w:rPr>
                <w:rFonts w:ascii="Calibri" w:eastAsia="Times New Roman" w:hAnsi="Calibri" w:cs="Calibri"/>
                <w:b/>
                <w:bCs/>
                <w:noProof w:val="0"/>
                <w:kern w:val="0"/>
                <w:sz w:val="24"/>
                <w:szCs w:val="24"/>
                <w:lang w:val="en-US"/>
                <w14:ligatures w14:val="none"/>
              </w:rPr>
              <w:t xml:space="preserve"> </w:t>
            </w:r>
          </w:p>
        </w:tc>
      </w:tr>
      <w:tr w:rsidR="00A477F0" w:rsidRPr="00AD7D87" w14:paraId="002C4510" w14:textId="77777777" w:rsidTr="00A477F0">
        <w:trPr>
          <w:trHeight w:val="20"/>
        </w:trPr>
        <w:tc>
          <w:tcPr>
            <w:tcW w:w="328" w:type="pct"/>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029F050" w14:textId="12101FE6"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1</w:t>
            </w:r>
          </w:p>
        </w:tc>
        <w:tc>
          <w:tcPr>
            <w:tcW w:w="438"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8C518" w14:textId="7E0FCC6E"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eastAsia="Times New Roman" w:hAnsi="Calibri" w:cs="Calibri"/>
                <w:noProof w:val="0"/>
                <w:kern w:val="0"/>
                <w:sz w:val="20"/>
                <w:szCs w:val="20"/>
                <w:lang w:val="en-US"/>
                <w14:ligatures w14:val="none"/>
              </w:rPr>
              <w:t>Milano</w:t>
            </w:r>
          </w:p>
        </w:tc>
        <w:tc>
          <w:tcPr>
            <w:tcW w:w="546"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EDFA57" w14:textId="0A94824E"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15.698.493,95</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A9C688" w14:textId="05A0DFF5"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08/07/2025</w:t>
            </w:r>
          </w:p>
        </w:tc>
        <w:tc>
          <w:tcPr>
            <w:tcW w:w="60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320A99" w14:textId="63E04C6C"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RFI SpA</w:t>
            </w:r>
          </w:p>
        </w:tc>
        <w:tc>
          <w:tcPr>
            <w:tcW w:w="2539" w:type="pct"/>
            <w:tcBorders>
              <w:top w:val="nil"/>
              <w:left w:val="single" w:sz="4" w:space="0" w:color="BFBFBF" w:themeColor="background1" w:themeShade="BF"/>
              <w:bottom w:val="single" w:sz="4" w:space="0" w:color="BFBFBF" w:themeColor="background1" w:themeShade="BF"/>
              <w:right w:val="nil"/>
            </w:tcBorders>
            <w:shd w:val="clear" w:color="auto" w:fill="auto"/>
            <w:vAlign w:val="bottom"/>
            <w:hideMark/>
          </w:tcPr>
          <w:p w14:paraId="62CD7C73" w14:textId="7C93CB47"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DAC.0286.2025 -Analisi e campionamento pietrisco DOIT Milano.</w:t>
            </w:r>
          </w:p>
        </w:tc>
      </w:tr>
      <w:tr w:rsidR="00A477F0" w:rsidRPr="00AD7D87" w14:paraId="6F0ED491"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3D621EE6" w14:textId="2F506E6B"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2</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8791FC" w14:textId="53BFC698"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F82779" w14:textId="531413B2"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5.784.000,00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F05E7" w14:textId="12296885"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18/07/2025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24A8E" w14:textId="3972EB36"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ENAV</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44D3090B" w14:textId="33D939DC"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Gara Comunitaria - Suite software Digital Tower per la remotizzazione dei servizi di controllo del traffico aereo di ENAV, di un Accordo Quadro avente ad oggetto attività di manutenzione correttiva ed adattativa, operazioni di sviluppo software e prestazioni ingegneristiche di supporto tecnico/specialistico</w:t>
            </w:r>
          </w:p>
        </w:tc>
      </w:tr>
      <w:tr w:rsidR="00A477F0" w:rsidRPr="00AD7D87" w14:paraId="1E454F4B"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6FDBC42" w14:textId="2D1AACD5"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3</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3A0E5D" w14:textId="2BBE344D"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Palermo</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45C70C" w14:textId="21AB914A"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2.352.941,17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F1F938" w14:textId="46683478"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08/07/2025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F2955D" w14:textId="0B79E51F"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Comune di Palermo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4F58D738" w14:textId="5DF2F8D9"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Servizio di assistenza tecnica e rafforzamento amministrativo per la gestione delle risorse europee a titolarità del Comune di Palermo a valere sul Programma Operativo Complementare Città Metropolitana di Palermo 2014-2020 e sul Programma Nazionale Metro Plus e Città Medie Sud 2021-2027</w:t>
            </w:r>
          </w:p>
        </w:tc>
      </w:tr>
      <w:tr w:rsidR="00A477F0" w:rsidRPr="00A477F0" w14:paraId="79E4D973"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63FFC2D1" w14:textId="7D577D15"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4</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9856C1" w14:textId="687FFBF5"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Aosta</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44FA5C" w14:textId="2913E835"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1.189.117,00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4589DF" w14:textId="0EC6BE24"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07/07/2025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C6D999" w14:textId="377BF4EA" w:rsidR="00A477F0" w:rsidRPr="00A477F0"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sidRPr="00A477F0">
              <w:rPr>
                <w:rFonts w:ascii="Calibri" w:hAnsi="Calibri" w:cs="Calibri"/>
                <w:sz w:val="20"/>
                <w:szCs w:val="20"/>
                <w:lang w:val="en-US"/>
              </w:rPr>
              <w:t>Services des eaux Valdôtaines Srl</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26969528" w14:textId="34529456" w:rsidR="00A477F0" w:rsidRPr="00A477F0"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Servizio di analisi delle acque destinate al consumo umano degli acquedotti dei comuni della regione autonoma della Valle d'Aosta</w:t>
            </w:r>
          </w:p>
        </w:tc>
      </w:tr>
      <w:tr w:rsidR="00A477F0" w:rsidRPr="00AD7D87" w14:paraId="014D72E1"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5B76FA46" w14:textId="37475025"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5</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C7DC14" w14:textId="3DFF0F63"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Sassari</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52BB38" w14:textId="3C0010B7"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728.707,38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4FF8E" w14:textId="0BD58FA3"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07/07/2025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2CA481" w14:textId="1FA18A9D"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Azienda Sanitaria U.S.L. 1 di Sassari</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07AFE0BD" w14:textId="48B9D75D"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Progetto di fattibilità tecnico ed economica, progetto esecutivo, coordinamento della sicurezza in fase di progettazione, direzione lavori, misura e contabilità, assistenza al collaudo e liquidazione e coordinamento della sicurezza in fase di esecuzione, inerenti i lavori di riqualificazione, adeguamento e ristrutturazione del complesso sanitario ex Ospedale Conti in Sassari – copertura padiglioni e parte del tunnel di collegamento e rifacimento interno dello stesso</w:t>
            </w:r>
          </w:p>
        </w:tc>
      </w:tr>
      <w:tr w:rsidR="00A477F0" w:rsidRPr="00AD7D87" w14:paraId="25BB482E"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33CC868" w14:textId="14392246"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6</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01E041" w14:textId="6F22A649"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Sondrio</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0726" w14:textId="30069EEC"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624.620,30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F023C1" w14:textId="1C589135"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14/07/2025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9892FC" w14:textId="58CA7FBF"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Comune di Livigno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0D4B885E" w14:textId="1B02360B"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Affidamento dei servizi tecnici di direzione dei lavori, contabilità e coordinamento per la sicurezza in fase di esecuzione nei cantieri, relativi all'intervento di realizzazione dell'opera denominata: Nuovo centro operativo comunale in località Teola - COC - Lotto 1 Opera principale e Lotto 2 opere complementari.</w:t>
            </w:r>
          </w:p>
        </w:tc>
      </w:tr>
      <w:tr w:rsidR="00A477F0" w:rsidRPr="00AD7D87" w14:paraId="671F0290"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CCCD1DF" w14:textId="2370558B"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7</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480C3" w14:textId="2C935C40"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Bolzano</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3C6C78" w14:textId="4CC26A08"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562.142,06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19F0D7" w14:textId="6A5A2B61"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10/07/2025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393940" w14:textId="31FF48B9"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Provincia Autonoma di Bolzano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6B564196" w14:textId="021A5EF7"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Affidamento ei servizi di progettazione e coordinamento della sicurezza in fase progettuale, direzione lavori e coordinamento della sicurezza in fase esecutiva per  la demolizione e la ricostruzione di un alloggio psichiatrico a Vipiteno secondo la metodologia building information modeling (BIM)</w:t>
            </w:r>
          </w:p>
        </w:tc>
      </w:tr>
      <w:tr w:rsidR="00A477F0" w:rsidRPr="00AD7D87" w14:paraId="4AD43CAC"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BB23DE2" w14:textId="2F9FF93F"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8</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37D2C9" w14:textId="475561B1"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Bari</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9E573E" w14:textId="3C5FC791"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462.077,33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85A06B" w14:textId="2E340339"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08/07/2025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67F9DE" w14:textId="05BBBED7"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Comune di Turi</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11E9A10D" w14:textId="04D37DFC"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Affidamento dei servizi di architettura e ingegneria per le attività di valutazione della vulnerabilità sismica e di redazione del Progetto di Fattibilità Tecnico Economica e del Progetto esecutivo dell'intervento di messa in sicurezza ed efficientamento energetico scuola secondaria di primo grado R. Resta - PNRR</w:t>
            </w:r>
          </w:p>
        </w:tc>
      </w:tr>
      <w:tr w:rsidR="00A477F0" w:rsidRPr="00AD7D87" w14:paraId="404702A2"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B28813A" w14:textId="39529C31"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9</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354889" w14:textId="289FCC28"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Pordenone</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2C99CB" w14:textId="4F3F1BE2"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449.551,40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14DB68" w14:textId="5F10BA3F"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30/06/2025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21CBE" w14:textId="07AB5AF9"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Comune di Azzano Decimo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69857784" w14:textId="18C8E0F8"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Affidamento del servizio di progettazione, direzione lavori e coordinamento della sicurezza dell'intervento denominato: lavori di ristrutturazione con completa demolizione dell'ex Cinema modernissimo per la realizzazione di un museo interattivo, di spazi culturali, aggregativi e ricreativi.</w:t>
            </w:r>
          </w:p>
        </w:tc>
      </w:tr>
      <w:tr w:rsidR="00A477F0" w:rsidRPr="00AD7D87" w14:paraId="23205E37" w14:textId="77777777" w:rsidTr="00A477F0">
        <w:trPr>
          <w:trHeight w:val="20"/>
        </w:trPr>
        <w:tc>
          <w:tcPr>
            <w:tcW w:w="328" w:type="pct"/>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7F3CC81B" w14:textId="632E818D" w:rsidR="00A477F0" w:rsidRPr="00AD7D87" w:rsidRDefault="00A477F0" w:rsidP="00A477F0">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lastRenderedPageBreak/>
              <w:t>10</w:t>
            </w:r>
          </w:p>
        </w:tc>
        <w:tc>
          <w:tcPr>
            <w:tcW w:w="438"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74E95A1C" w14:textId="47E92768"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Treviso - Venezia - Verona - Vicenza</w:t>
            </w:r>
          </w:p>
        </w:tc>
        <w:tc>
          <w:tcPr>
            <w:tcW w:w="546"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3732D683" w14:textId="5E858F28"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404.400,00</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345C409F" w14:textId="401A85AF"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08/07/2025</w:t>
            </w:r>
          </w:p>
        </w:tc>
        <w:tc>
          <w:tcPr>
            <w:tcW w:w="602"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5227F637" w14:textId="67BF9837"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Regione Veneto</w:t>
            </w:r>
          </w:p>
        </w:tc>
        <w:tc>
          <w:tcPr>
            <w:tcW w:w="2539" w:type="pct"/>
            <w:tcBorders>
              <w:top w:val="single" w:sz="4" w:space="0" w:color="BFBFBF" w:themeColor="background1" w:themeShade="BF"/>
              <w:left w:val="single" w:sz="4" w:space="0" w:color="BFBFBF" w:themeColor="background1" w:themeShade="BF"/>
              <w:right w:val="nil"/>
            </w:tcBorders>
            <w:shd w:val="clear" w:color="auto" w:fill="auto"/>
            <w:vAlign w:val="bottom"/>
            <w:hideMark/>
          </w:tcPr>
          <w:p w14:paraId="621D8FBE" w14:textId="0F2A0A1B"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 xml:space="preserve">Servizio per il rilievo aerofotogrammetrico con produzione di ortofoto e derivazione automatica di oggetti dell'intera provincia di Treviso e di parte delle province di Venezia, Verona e Vicenza </w:t>
            </w:r>
          </w:p>
        </w:tc>
      </w:tr>
      <w:tr w:rsidR="00A477F0" w:rsidRPr="00AD7D87" w14:paraId="5D49B6BD" w14:textId="77777777" w:rsidTr="00A477F0">
        <w:trPr>
          <w:trHeight w:val="567"/>
        </w:trPr>
        <w:tc>
          <w:tcPr>
            <w:tcW w:w="5000" w:type="pct"/>
            <w:gridSpan w:val="6"/>
            <w:tcBorders>
              <w:left w:val="nil"/>
              <w:right w:val="nil"/>
            </w:tcBorders>
            <w:shd w:val="clear" w:color="auto" w:fill="E7E6E6" w:themeFill="background2"/>
            <w:vAlign w:val="center"/>
          </w:tcPr>
          <w:p w14:paraId="07E7A8F7" w14:textId="0D806CAA" w:rsidR="00A477F0" w:rsidRPr="00C5356E" w:rsidRDefault="00A477F0" w:rsidP="00C5356E">
            <w:pPr>
              <w:spacing w:after="0" w:line="240" w:lineRule="auto"/>
              <w:jc w:val="both"/>
              <w:rPr>
                <w:rFonts w:ascii="Calibri" w:eastAsia="Times New Roman" w:hAnsi="Calibri" w:cs="Calibri"/>
                <w:b/>
                <w:bCs/>
                <w:noProof w:val="0"/>
                <w:kern w:val="0"/>
                <w:sz w:val="24"/>
                <w:szCs w:val="24"/>
                <w:lang w:val="en-US"/>
                <w14:ligatures w14:val="none"/>
              </w:rPr>
            </w:pPr>
            <w:r w:rsidRPr="00C5356E">
              <w:rPr>
                <w:rFonts w:ascii="Calibri" w:eastAsia="Times New Roman" w:hAnsi="Calibri" w:cs="Calibri"/>
                <w:b/>
                <w:bCs/>
                <w:noProof w:val="0"/>
                <w:kern w:val="0"/>
                <w:sz w:val="24"/>
                <w:szCs w:val="24"/>
                <w:lang w:val="en-US"/>
                <w14:ligatures w14:val="none"/>
              </w:rPr>
              <w:t>Altri bandi</w:t>
            </w:r>
          </w:p>
        </w:tc>
      </w:tr>
      <w:tr w:rsidR="00A477F0" w:rsidRPr="00AD7D87" w14:paraId="3B0DE8C8" w14:textId="77777777" w:rsidTr="00A477F0">
        <w:trPr>
          <w:trHeight w:val="20"/>
        </w:trPr>
        <w:tc>
          <w:tcPr>
            <w:tcW w:w="328" w:type="pct"/>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2BCB36ED" w14:textId="12D56125"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Altri bandi</w:t>
            </w:r>
          </w:p>
        </w:tc>
        <w:tc>
          <w:tcPr>
            <w:tcW w:w="438"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6C12D0" w14:textId="24F55ABE"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Viterbo</w:t>
            </w:r>
          </w:p>
        </w:tc>
        <w:tc>
          <w:tcPr>
            <w:tcW w:w="546"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1AAE0D" w14:textId="64705DA2"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366.912,00</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93DF33" w14:textId="3370417C"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25/06/2025</w:t>
            </w:r>
          </w:p>
        </w:tc>
        <w:tc>
          <w:tcPr>
            <w:tcW w:w="60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E65D06" w14:textId="5F9B3154"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Comune di Viterbo</w:t>
            </w:r>
          </w:p>
        </w:tc>
        <w:tc>
          <w:tcPr>
            <w:tcW w:w="2539" w:type="pct"/>
            <w:tcBorders>
              <w:top w:val="nil"/>
              <w:left w:val="single" w:sz="4" w:space="0" w:color="BFBFBF" w:themeColor="background1" w:themeShade="BF"/>
              <w:bottom w:val="single" w:sz="4" w:space="0" w:color="BFBFBF" w:themeColor="background1" w:themeShade="BF"/>
              <w:right w:val="nil"/>
            </w:tcBorders>
            <w:shd w:val="clear" w:color="auto" w:fill="auto"/>
            <w:vAlign w:val="bottom"/>
            <w:hideMark/>
          </w:tcPr>
          <w:p w14:paraId="4F8BA38B" w14:textId="6F5482D4"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Incarico professionale di Direttore Esecutivo del Contratto (DEC) nell'ambito del Servizio di raccolta e trasporto dei rifiuti solidi e urbani e igiene Urbana del comune di Viterbo</w:t>
            </w:r>
          </w:p>
        </w:tc>
      </w:tr>
      <w:tr w:rsidR="00A477F0" w:rsidRPr="00AD7D87" w14:paraId="542C2A6A"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FA81FF8" w14:textId="363294FA" w:rsidR="00A477F0" w:rsidRPr="00A477F0"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Altri bandi</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364F9B" w14:textId="68DFB0A0"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Palermo</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98D6E3" w14:textId="3F9A5CAE"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364.778,87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787364" w14:textId="4B81A23F"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08/07/2025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EFB4A0" w14:textId="58F8EADA"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Autorità di Sistema Portuale Mare Sicilia Occidentale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57F103D0" w14:textId="5AD2687A"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Procedura di gara finalizzata all'affidamento del servizio di progettazione fattibilità tecnica ed economica  - Porto di Palermo. Molo Sud. Riqualificazione funzionale e paesaggistica del molo sud del porto commerciale.</w:t>
            </w:r>
          </w:p>
        </w:tc>
      </w:tr>
      <w:tr w:rsidR="00A477F0" w:rsidRPr="00AD7D87" w14:paraId="3A6A6579"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D63F4E8" w14:textId="6A727EDC" w:rsidR="00A477F0" w:rsidRPr="00A477F0"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Altri bandi</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DDD788" w14:textId="687267B5"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A241CA" w14:textId="3982811F"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294.200,00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C2C3DE" w14:textId="4A337505"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07/07/2025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E0DB2F" w14:textId="002F7E37"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Risorse per Roma SpA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65459B79" w14:textId="2294ED72"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Affidamento rilievi, indagini diagnostiche e valutazione della sicurezza delle strutture e, ove ricorrano le condizioni, della redazione della progettazione esecutiva degli interventi di manutenzione straordinaria da effettuarsi presso un edificio ERP di proprietà Capitolina, sito in Roma, Via A. Canepa 40.</w:t>
            </w:r>
          </w:p>
        </w:tc>
      </w:tr>
      <w:tr w:rsidR="00A477F0" w:rsidRPr="00AD7D87" w14:paraId="701B7EBF"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EC397BE" w14:textId="62B01613" w:rsidR="00A477F0" w:rsidRPr="00A477F0"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Altri bandi</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F399C5" w14:textId="48584953"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Lucca</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5EF29C" w14:textId="298AF420"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286.054,74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8E0E8E" w14:textId="4ADC5E99"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17/06/2025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D14D27" w14:textId="61A1D370"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Comune di Camaiore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6589BCC3" w14:textId="45E845E2"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 xml:space="preserve">Affidamento servizi di ingegneria per la direzione lavori, aggiornamento elaborati di progetto e contabilità per lavori di ricostruzione edificio ex Arlecchino PNRR M5C1, C.1 Politiche del lavoro, I.1.1 Potenziamento Centri impiego. </w:t>
            </w:r>
          </w:p>
        </w:tc>
      </w:tr>
      <w:tr w:rsidR="00A477F0" w:rsidRPr="00AD7D87" w14:paraId="425D805F"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9DA5387" w14:textId="1E2C26DB" w:rsidR="00A477F0" w:rsidRPr="00A477F0"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Altri bandi</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B3DB87" w14:textId="4FA61FBE"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Rimini</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F9829E" w14:textId="6E4307B3"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245.576,64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14A031" w14:textId="280FC19A"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08/07/2025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526BDD" w14:textId="5D845DC1"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CAAR SpA - Centro Agro Alimentare Riminese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4900E4FC" w14:textId="0EC94E70"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Servizio attinente architettura e ingegneria relativo alla direzione dei lavori, contabilità e misure e del servizio di coordinatore della sicurezza in fase esecutiva, per i lavori di razionalizzazione logistica del CAAR Spa - Fondi PNRR M2C1I2.1</w:t>
            </w:r>
          </w:p>
        </w:tc>
      </w:tr>
      <w:tr w:rsidR="00A477F0" w:rsidRPr="00AD7D87" w14:paraId="73792340" w14:textId="77777777" w:rsidTr="00A477F0">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8129AC6" w14:textId="3BD6EB46" w:rsidR="00A477F0" w:rsidRPr="00A477F0"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Altri bandi</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CD7316" w14:textId="597DD572"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Catanzaro</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C4F752" w14:textId="7A866A67"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170.279,67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50E6F2" w14:textId="340BA382"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07/07/2025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B8A9CF" w14:textId="452840A6" w:rsidR="00A477F0" w:rsidRPr="00A477F0"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Commissario per il contrasto del dissesto idrogeologico nel territorio della Regione Calabria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52572026" w14:textId="65FBDC10" w:rsidR="00A477F0" w:rsidRPr="00AD7D87"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Procedura negoziata per l'affidamento dei servizi di progettazione di fattibilità tecnico-economica, progettazione esecutiva e coordinamento della sicurezza in fase di progettazione, studio geologico e direzione lavori geologia, valutazione preventiva dell'interesse archeologico, direzione dei lavori e coordinamento della sicurezza in fase di esecuzione propedeutici alla realizzazione dell'intervento Codice Rendis 18IR017/G1 - Lavori di mitigazione rischio frana del versante collina costa a ridosso del centro abitato" nel Comune di Cardinale (CZ). Patto per lo Sviluppo della Regione Calabria (D.G.R. n. 355 del 31.07.2017).</w:t>
            </w:r>
          </w:p>
        </w:tc>
      </w:tr>
      <w:tr w:rsidR="00A477F0" w:rsidRPr="00AD7D87" w14:paraId="73DE4161" w14:textId="77777777" w:rsidTr="00A477F0">
        <w:trPr>
          <w:trHeight w:val="20"/>
        </w:trPr>
        <w:tc>
          <w:tcPr>
            <w:tcW w:w="328" w:type="pct"/>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auto"/>
            <w:vAlign w:val="center"/>
          </w:tcPr>
          <w:p w14:paraId="1A8E6BEB" w14:textId="753C3C74" w:rsidR="00A477F0" w:rsidRPr="00A477F0"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Altri bandi</w:t>
            </w:r>
          </w:p>
        </w:tc>
        <w:tc>
          <w:tcPr>
            <w:tcW w:w="438"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hideMark/>
          </w:tcPr>
          <w:p w14:paraId="6B2E067F" w14:textId="22E81FF5"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Bolzano</w:t>
            </w:r>
          </w:p>
        </w:tc>
        <w:tc>
          <w:tcPr>
            <w:tcW w:w="546"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hideMark/>
          </w:tcPr>
          <w:p w14:paraId="5FBC148B" w14:textId="3F335CD5" w:rsidR="00A477F0" w:rsidRPr="00AD7D87" w:rsidRDefault="00A477F0" w:rsidP="00A477F0">
            <w:pPr>
              <w:spacing w:after="0" w:line="240" w:lineRule="auto"/>
              <w:jc w:val="right"/>
              <w:rPr>
                <w:rFonts w:ascii="Calibri" w:eastAsia="Times New Roman" w:hAnsi="Calibri" w:cs="Calibri"/>
                <w:noProof w:val="0"/>
                <w:kern w:val="0"/>
                <w:sz w:val="20"/>
                <w:szCs w:val="20"/>
                <w:lang w:val="en-US"/>
                <w14:ligatures w14:val="none"/>
              </w:rPr>
            </w:pPr>
            <w:r>
              <w:rPr>
                <w:rFonts w:ascii="Calibri" w:hAnsi="Calibri" w:cs="Calibri"/>
                <w:sz w:val="20"/>
                <w:szCs w:val="20"/>
              </w:rPr>
              <w:t>151.644,04</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hideMark/>
          </w:tcPr>
          <w:p w14:paraId="4D6D139A" w14:textId="4C3255E6" w:rsidR="00A477F0" w:rsidRPr="00AD7D87" w:rsidRDefault="00A477F0" w:rsidP="00A477F0">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14/07/2025</w:t>
            </w:r>
          </w:p>
        </w:tc>
        <w:tc>
          <w:tcPr>
            <w:tcW w:w="602"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hideMark/>
          </w:tcPr>
          <w:p w14:paraId="6C95E57E" w14:textId="66B53417" w:rsidR="00A477F0" w:rsidRPr="00AD7D87" w:rsidRDefault="00A477F0" w:rsidP="00A477F0">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Comune di Brunico</w:t>
            </w:r>
          </w:p>
        </w:tc>
        <w:tc>
          <w:tcPr>
            <w:tcW w:w="2539" w:type="pct"/>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shd w:val="clear" w:color="auto" w:fill="auto"/>
            <w:vAlign w:val="bottom"/>
            <w:hideMark/>
          </w:tcPr>
          <w:p w14:paraId="4D91F7DA" w14:textId="13257D83" w:rsidR="00A477F0" w:rsidRPr="00A477F0" w:rsidRDefault="00A477F0" w:rsidP="00A477F0">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EE03 ES MZW Georg. Edificio polifunzionale San Giorgio. Risanamento energetico con l'adeguamento o il rinnovo degli impianti di riscaldamento e del sistema antincendio e l'installazione di un impianto fotovoltaico sul tetto. Direzione lavori, contabilità e coordinazione di sicurezza nella fase esecutiva.</w:t>
            </w:r>
          </w:p>
        </w:tc>
      </w:tr>
    </w:tbl>
    <w:p w14:paraId="3BF6ADCF" w14:textId="5140CF57" w:rsidR="00B36A9A" w:rsidRDefault="00BE484B" w:rsidP="00C5356E">
      <w:pPr>
        <w:tabs>
          <w:tab w:val="left" w:pos="11101"/>
        </w:tabs>
        <w:spacing w:after="0" w:line="240" w:lineRule="auto"/>
      </w:pPr>
      <w:r w:rsidRPr="00AD7D87">
        <w:rPr>
          <w:rFonts w:ascii="Calibri" w:eastAsia="Times New Roman" w:hAnsi="Calibri" w:cs="Calibri"/>
          <w:noProof w:val="0"/>
          <w:color w:val="000000"/>
          <w:kern w:val="0"/>
          <w:sz w:val="24"/>
          <w:szCs w:val="24"/>
          <w14:ligatures w14:val="none"/>
        </w:rPr>
        <w:t>Fonte: ONSAI 2020 - Osservatorio Nazionale Servizi Architettura e Ingegneria CNAPPC-CRESME ES</w:t>
      </w:r>
    </w:p>
    <w:sectPr w:rsidR="00B36A9A" w:rsidSect="00AD7D87">
      <w:pgSz w:w="15840" w:h="12240"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2D6B7D"/>
    <w:rsid w:val="003E2B00"/>
    <w:rsid w:val="00591A6F"/>
    <w:rsid w:val="008C06BF"/>
    <w:rsid w:val="00A477F0"/>
    <w:rsid w:val="00A72F02"/>
    <w:rsid w:val="00A849EE"/>
    <w:rsid w:val="00AD108D"/>
    <w:rsid w:val="00AD7D87"/>
    <w:rsid w:val="00AE17A5"/>
    <w:rsid w:val="00B36A9A"/>
    <w:rsid w:val="00BE484B"/>
    <w:rsid w:val="00C11B2F"/>
    <w:rsid w:val="00C5356E"/>
    <w:rsid w:val="00DC4250"/>
    <w:rsid w:val="00DF6955"/>
    <w:rsid w:val="00E45FCE"/>
    <w:rsid w:val="00F6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1FA7"/>
  <w15:chartTrackingRefBased/>
  <w15:docId w15:val="{2A929CD5-229E-4CB1-9251-72EB88FD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87"/>
    <w:rPr>
      <w:noProof/>
      <w:lang w:val="it-IT"/>
    </w:rPr>
  </w:style>
  <w:style w:type="paragraph" w:styleId="Titolo1">
    <w:name w:val="heading 1"/>
    <w:basedOn w:val="Normale"/>
    <w:next w:val="Normale"/>
    <w:link w:val="Titolo1Carattere"/>
    <w:uiPriority w:val="9"/>
    <w:qFormat/>
    <w:rsid w:val="00AD7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D7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D7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D7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D7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D7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7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7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7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D87"/>
    <w:rPr>
      <w:rFonts w:asciiTheme="majorHAnsi" w:eastAsiaTheme="majorEastAsia" w:hAnsiTheme="majorHAnsi" w:cstheme="majorBidi"/>
      <w:noProof/>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AD7D87"/>
    <w:rPr>
      <w:rFonts w:asciiTheme="majorHAnsi" w:eastAsiaTheme="majorEastAsia" w:hAnsiTheme="majorHAnsi" w:cstheme="majorBidi"/>
      <w:noProof/>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AD7D87"/>
    <w:rPr>
      <w:rFonts w:eastAsiaTheme="majorEastAsia" w:cstheme="majorBidi"/>
      <w:noProof/>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AD7D87"/>
    <w:rPr>
      <w:rFonts w:eastAsiaTheme="majorEastAsia" w:cstheme="majorBidi"/>
      <w:i/>
      <w:iCs/>
      <w:noProof/>
      <w:color w:val="2F5496" w:themeColor="accent1" w:themeShade="BF"/>
      <w:lang w:val="it-IT"/>
    </w:rPr>
  </w:style>
  <w:style w:type="character" w:customStyle="1" w:styleId="Titolo5Carattere">
    <w:name w:val="Titolo 5 Carattere"/>
    <w:basedOn w:val="Carpredefinitoparagrafo"/>
    <w:link w:val="Titolo5"/>
    <w:uiPriority w:val="9"/>
    <w:semiHidden/>
    <w:rsid w:val="00AD7D87"/>
    <w:rPr>
      <w:rFonts w:eastAsiaTheme="majorEastAsia" w:cstheme="majorBidi"/>
      <w:noProof/>
      <w:color w:val="2F5496" w:themeColor="accent1" w:themeShade="BF"/>
      <w:lang w:val="it-IT"/>
    </w:rPr>
  </w:style>
  <w:style w:type="character" w:customStyle="1" w:styleId="Titolo6Carattere">
    <w:name w:val="Titolo 6 Carattere"/>
    <w:basedOn w:val="Carpredefinitoparagrafo"/>
    <w:link w:val="Titolo6"/>
    <w:uiPriority w:val="9"/>
    <w:semiHidden/>
    <w:rsid w:val="00AD7D87"/>
    <w:rPr>
      <w:rFonts w:eastAsiaTheme="majorEastAsia" w:cstheme="majorBidi"/>
      <w:i/>
      <w:iCs/>
      <w:noProof/>
      <w:color w:val="595959" w:themeColor="text1" w:themeTint="A6"/>
      <w:lang w:val="it-IT"/>
    </w:rPr>
  </w:style>
  <w:style w:type="character" w:customStyle="1" w:styleId="Titolo7Carattere">
    <w:name w:val="Titolo 7 Carattere"/>
    <w:basedOn w:val="Carpredefinitoparagrafo"/>
    <w:link w:val="Titolo7"/>
    <w:uiPriority w:val="9"/>
    <w:semiHidden/>
    <w:rsid w:val="00AD7D87"/>
    <w:rPr>
      <w:rFonts w:eastAsiaTheme="majorEastAsia" w:cstheme="majorBidi"/>
      <w:noProof/>
      <w:color w:val="595959" w:themeColor="text1" w:themeTint="A6"/>
      <w:lang w:val="it-IT"/>
    </w:rPr>
  </w:style>
  <w:style w:type="character" w:customStyle="1" w:styleId="Titolo8Carattere">
    <w:name w:val="Titolo 8 Carattere"/>
    <w:basedOn w:val="Carpredefinitoparagrafo"/>
    <w:link w:val="Titolo8"/>
    <w:uiPriority w:val="9"/>
    <w:semiHidden/>
    <w:rsid w:val="00AD7D87"/>
    <w:rPr>
      <w:rFonts w:eastAsiaTheme="majorEastAsia" w:cstheme="majorBidi"/>
      <w:i/>
      <w:iCs/>
      <w:noProof/>
      <w:color w:val="272727" w:themeColor="text1" w:themeTint="D8"/>
      <w:lang w:val="it-IT"/>
    </w:rPr>
  </w:style>
  <w:style w:type="character" w:customStyle="1" w:styleId="Titolo9Carattere">
    <w:name w:val="Titolo 9 Carattere"/>
    <w:basedOn w:val="Carpredefinitoparagrafo"/>
    <w:link w:val="Titolo9"/>
    <w:uiPriority w:val="9"/>
    <w:semiHidden/>
    <w:rsid w:val="00AD7D87"/>
    <w:rPr>
      <w:rFonts w:eastAsiaTheme="majorEastAsia" w:cstheme="majorBidi"/>
      <w:noProof/>
      <w:color w:val="272727" w:themeColor="text1" w:themeTint="D8"/>
      <w:lang w:val="it-IT"/>
    </w:rPr>
  </w:style>
  <w:style w:type="paragraph" w:styleId="Titolo">
    <w:name w:val="Title"/>
    <w:basedOn w:val="Normale"/>
    <w:next w:val="Normale"/>
    <w:link w:val="TitoloCarattere"/>
    <w:uiPriority w:val="10"/>
    <w:qFormat/>
    <w:rsid w:val="00AD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7D87"/>
    <w:rPr>
      <w:rFonts w:asciiTheme="majorHAnsi" w:eastAsiaTheme="majorEastAsia" w:hAnsiTheme="majorHAnsi" w:cstheme="majorBidi"/>
      <w:noProof/>
      <w:spacing w:val="-10"/>
      <w:kern w:val="28"/>
      <w:sz w:val="56"/>
      <w:szCs w:val="56"/>
      <w:lang w:val="it-IT"/>
    </w:rPr>
  </w:style>
  <w:style w:type="paragraph" w:styleId="Sottotitolo">
    <w:name w:val="Subtitle"/>
    <w:basedOn w:val="Normale"/>
    <w:next w:val="Normale"/>
    <w:link w:val="SottotitoloCarattere"/>
    <w:uiPriority w:val="11"/>
    <w:qFormat/>
    <w:rsid w:val="00AD7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7D87"/>
    <w:rPr>
      <w:rFonts w:eastAsiaTheme="majorEastAsia" w:cstheme="majorBidi"/>
      <w:noProof/>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AD7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7D87"/>
    <w:rPr>
      <w:i/>
      <w:iCs/>
      <w:noProof/>
      <w:color w:val="404040" w:themeColor="text1" w:themeTint="BF"/>
      <w:lang w:val="it-IT"/>
    </w:rPr>
  </w:style>
  <w:style w:type="paragraph" w:styleId="Paragrafoelenco">
    <w:name w:val="List Paragraph"/>
    <w:basedOn w:val="Normale"/>
    <w:uiPriority w:val="34"/>
    <w:qFormat/>
    <w:rsid w:val="00AD7D87"/>
    <w:pPr>
      <w:ind w:left="720"/>
      <w:contextualSpacing/>
    </w:pPr>
  </w:style>
  <w:style w:type="character" w:styleId="Enfasiintensa">
    <w:name w:val="Intense Emphasis"/>
    <w:basedOn w:val="Carpredefinitoparagrafo"/>
    <w:uiPriority w:val="21"/>
    <w:qFormat/>
    <w:rsid w:val="00AD7D87"/>
    <w:rPr>
      <w:i/>
      <w:iCs/>
      <w:color w:val="2F5496" w:themeColor="accent1" w:themeShade="BF"/>
    </w:rPr>
  </w:style>
  <w:style w:type="paragraph" w:styleId="Citazioneintensa">
    <w:name w:val="Intense Quote"/>
    <w:basedOn w:val="Normale"/>
    <w:next w:val="Normale"/>
    <w:link w:val="CitazioneintensaCarattere"/>
    <w:uiPriority w:val="30"/>
    <w:qFormat/>
    <w:rsid w:val="00AD7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D7D87"/>
    <w:rPr>
      <w:i/>
      <w:iCs/>
      <w:noProof/>
      <w:color w:val="2F5496" w:themeColor="accent1" w:themeShade="BF"/>
      <w:lang w:val="it-IT"/>
    </w:rPr>
  </w:style>
  <w:style w:type="character" w:styleId="Riferimentointenso">
    <w:name w:val="Intense Reference"/>
    <w:basedOn w:val="Carpredefinitoparagrafo"/>
    <w:uiPriority w:val="32"/>
    <w:qFormat/>
    <w:rsid w:val="00AD7D87"/>
    <w:rPr>
      <w:b/>
      <w:bCs/>
      <w:smallCaps/>
      <w:color w:val="2F5496" w:themeColor="accent1" w:themeShade="BF"/>
      <w:spacing w:val="5"/>
    </w:rPr>
  </w:style>
  <w:style w:type="paragraph" w:customStyle="1" w:styleId="fontec">
    <w:name w:val="fonte_c"/>
    <w:basedOn w:val="Normale"/>
    <w:next w:val="Normale"/>
    <w:qFormat/>
    <w:rsid w:val="00AD7D87"/>
    <w:pPr>
      <w:spacing w:after="0" w:line="240" w:lineRule="auto"/>
      <w:jc w:val="both"/>
    </w:pPr>
    <w:rPr>
      <w:rFonts w:cstheme="minorHAnsi"/>
      <w:i/>
      <w:noProof w:val="0"/>
      <w:color w:val="000000" w:themeColor="text1"/>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Tascedda</dc:creator>
  <cp:keywords/>
  <dc:description/>
  <cp:lastModifiedBy>Giorgio Santilli</cp:lastModifiedBy>
  <cp:revision>2</cp:revision>
  <dcterms:created xsi:type="dcterms:W3CDTF">2025-06-08T11:57:00Z</dcterms:created>
  <dcterms:modified xsi:type="dcterms:W3CDTF">2025-06-08T11:57:00Z</dcterms:modified>
</cp:coreProperties>
</file>