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1DB86B" w14:textId="4975C843" w:rsidR="00E0365C" w:rsidRDefault="00E0365C" w:rsidP="00BA0075">
      <w:pPr>
        <w:rPr>
          <w:rFonts w:ascii="Times New Roman" w:hAnsi="Times New Roman"/>
          <w:b/>
          <w:caps/>
          <w:sz w:val="26"/>
          <w:szCs w:val="26"/>
        </w:rPr>
      </w:pPr>
    </w:p>
    <w:p w14:paraId="46909EC3" w14:textId="35277250" w:rsidR="009A4070" w:rsidRDefault="009A4070" w:rsidP="00BA0075">
      <w:pPr>
        <w:rPr>
          <w:rFonts w:ascii="Times New Roman" w:hAnsi="Times New Roman"/>
          <w:b/>
          <w:caps/>
          <w:sz w:val="26"/>
          <w:szCs w:val="26"/>
        </w:rPr>
      </w:pPr>
    </w:p>
    <w:p w14:paraId="455927E0" w14:textId="085B9ACA" w:rsidR="009A4070" w:rsidRDefault="009A4070" w:rsidP="00BA0075">
      <w:pPr>
        <w:rPr>
          <w:rFonts w:ascii="Times New Roman" w:hAnsi="Times New Roman"/>
          <w:b/>
          <w:caps/>
          <w:sz w:val="26"/>
          <w:szCs w:val="26"/>
        </w:rPr>
      </w:pPr>
    </w:p>
    <w:p w14:paraId="3D4DE5C4" w14:textId="70745463" w:rsidR="009A4070" w:rsidRDefault="009A4070" w:rsidP="00BA0075">
      <w:pPr>
        <w:rPr>
          <w:rFonts w:ascii="Times New Roman" w:hAnsi="Times New Roman"/>
          <w:b/>
          <w:caps/>
          <w:sz w:val="26"/>
          <w:szCs w:val="26"/>
        </w:rPr>
      </w:pPr>
    </w:p>
    <w:p w14:paraId="39D63F0B" w14:textId="6B3D642E" w:rsidR="009A4070" w:rsidRDefault="009A4070" w:rsidP="00BA0075">
      <w:pPr>
        <w:rPr>
          <w:rFonts w:ascii="Times New Roman" w:hAnsi="Times New Roman"/>
          <w:b/>
          <w:caps/>
          <w:sz w:val="26"/>
          <w:szCs w:val="26"/>
        </w:rPr>
      </w:pPr>
    </w:p>
    <w:p w14:paraId="2D393B16" w14:textId="079C96EF" w:rsidR="009A4070" w:rsidRDefault="009A4070" w:rsidP="00BA0075">
      <w:pPr>
        <w:rPr>
          <w:rFonts w:ascii="Times New Roman" w:hAnsi="Times New Roman"/>
          <w:b/>
          <w:caps/>
          <w:sz w:val="26"/>
          <w:szCs w:val="26"/>
        </w:rPr>
      </w:pPr>
    </w:p>
    <w:p w14:paraId="1D56FD6F" w14:textId="77777777" w:rsidR="009A4070" w:rsidRPr="00317B5A" w:rsidRDefault="009A4070" w:rsidP="00BA0075">
      <w:pPr>
        <w:rPr>
          <w:rFonts w:ascii="Times New Roman" w:hAnsi="Times New Roman"/>
          <w:b/>
          <w:caps/>
          <w:sz w:val="26"/>
          <w:szCs w:val="26"/>
        </w:rPr>
      </w:pPr>
    </w:p>
    <w:p w14:paraId="3938A79B" w14:textId="29AE8F4D" w:rsidR="00EC341A" w:rsidRPr="0077427C" w:rsidRDefault="00EC341A" w:rsidP="00EC341A">
      <w:pPr>
        <w:jc w:val="center"/>
        <w:rPr>
          <w:rFonts w:ascii="Times New Roman" w:hAnsi="Times New Roman"/>
          <w:b/>
          <w:caps/>
          <w:sz w:val="26"/>
          <w:szCs w:val="26"/>
        </w:rPr>
      </w:pPr>
      <w:r w:rsidRPr="0077427C">
        <w:rPr>
          <w:rFonts w:ascii="Times New Roman" w:hAnsi="Times New Roman"/>
          <w:b/>
          <w:caps/>
          <w:sz w:val="26"/>
          <w:szCs w:val="26"/>
        </w:rPr>
        <w:t>PROPOSTA di documento conclusivo</w:t>
      </w:r>
    </w:p>
    <w:p w14:paraId="4D82AAC4" w14:textId="77777777" w:rsidR="00EC341A" w:rsidRPr="0077427C" w:rsidRDefault="00EC341A" w:rsidP="00EC341A">
      <w:pPr>
        <w:jc w:val="center"/>
        <w:rPr>
          <w:rFonts w:ascii="Times New Roman" w:hAnsi="Times New Roman"/>
          <w:b/>
          <w:caps/>
          <w:sz w:val="26"/>
          <w:szCs w:val="26"/>
        </w:rPr>
      </w:pPr>
      <w:r w:rsidRPr="0077427C">
        <w:rPr>
          <w:rFonts w:ascii="Times New Roman" w:hAnsi="Times New Roman"/>
          <w:b/>
          <w:caps/>
          <w:sz w:val="26"/>
          <w:szCs w:val="26"/>
        </w:rPr>
        <w:t>dell’indagine conoscitiva</w:t>
      </w:r>
    </w:p>
    <w:p w14:paraId="28DE09A8" w14:textId="77777777" w:rsidR="00EC341A" w:rsidRPr="0077427C" w:rsidRDefault="00EC341A" w:rsidP="00EC341A">
      <w:pPr>
        <w:jc w:val="center"/>
        <w:rPr>
          <w:rFonts w:ascii="Times New Roman" w:hAnsi="Times New Roman"/>
          <w:b/>
          <w:caps/>
          <w:sz w:val="26"/>
          <w:szCs w:val="26"/>
        </w:rPr>
      </w:pPr>
      <w:r w:rsidRPr="0077427C">
        <w:rPr>
          <w:rFonts w:ascii="Times New Roman" w:hAnsi="Times New Roman"/>
          <w:b/>
          <w:caps/>
          <w:sz w:val="26"/>
          <w:szCs w:val="26"/>
        </w:rPr>
        <w:t>SULL'IMPATTO AMBIENTALE DEGLI INCENTIVI IN MATERIA EDILIZIA</w:t>
      </w:r>
    </w:p>
    <w:p w14:paraId="69252D72" w14:textId="77777777" w:rsidR="00EC341A" w:rsidRPr="0077427C" w:rsidRDefault="00EC341A" w:rsidP="00EC341A">
      <w:pPr>
        <w:rPr>
          <w:rFonts w:ascii="Times New Roman" w:hAnsi="Times New Roman"/>
          <w:b/>
          <w:sz w:val="26"/>
          <w:szCs w:val="26"/>
        </w:rPr>
      </w:pPr>
    </w:p>
    <w:p w14:paraId="524D7030" w14:textId="702C8886" w:rsidR="009A4070" w:rsidRPr="0077427C" w:rsidRDefault="009A4070">
      <w:pPr>
        <w:spacing w:after="160" w:line="259" w:lineRule="auto"/>
        <w:ind w:firstLine="0"/>
        <w:jc w:val="left"/>
        <w:rPr>
          <w:rFonts w:ascii="Times New Roman" w:hAnsi="Times New Roman"/>
          <w:b/>
          <w:sz w:val="26"/>
          <w:szCs w:val="26"/>
        </w:rPr>
      </w:pPr>
      <w:r w:rsidRPr="0077427C">
        <w:rPr>
          <w:rFonts w:ascii="Times New Roman" w:hAnsi="Times New Roman"/>
          <w:b/>
          <w:sz w:val="26"/>
          <w:szCs w:val="26"/>
        </w:rPr>
        <w:br w:type="page"/>
      </w:r>
    </w:p>
    <w:p w14:paraId="777E75B0" w14:textId="77F5632F" w:rsidR="00EC341A" w:rsidRPr="0077427C" w:rsidRDefault="00AE7DE7" w:rsidP="00EC341A">
      <w:pPr>
        <w:autoSpaceDE w:val="0"/>
        <w:autoSpaceDN w:val="0"/>
        <w:adjustRightInd w:val="0"/>
        <w:jc w:val="center"/>
        <w:rPr>
          <w:rFonts w:ascii="Times New Roman" w:hAnsi="Times New Roman"/>
          <w:b/>
          <w:sz w:val="26"/>
          <w:szCs w:val="26"/>
        </w:rPr>
      </w:pPr>
      <w:r w:rsidRPr="0077427C">
        <w:rPr>
          <w:rFonts w:ascii="Times New Roman" w:hAnsi="Times New Roman"/>
          <w:b/>
          <w:sz w:val="26"/>
          <w:szCs w:val="26"/>
        </w:rPr>
        <w:lastRenderedPageBreak/>
        <w:t>INDICE</w:t>
      </w:r>
    </w:p>
    <w:sdt>
      <w:sdtPr>
        <w:rPr>
          <w:rFonts w:ascii="Arial" w:eastAsia="Times New Roman" w:hAnsi="Arial" w:cs="Times New Roman"/>
          <w:color w:val="auto"/>
          <w:sz w:val="22"/>
          <w:szCs w:val="20"/>
        </w:rPr>
        <w:id w:val="1691408698"/>
        <w:docPartObj>
          <w:docPartGallery w:val="Table of Contents"/>
          <w:docPartUnique/>
        </w:docPartObj>
      </w:sdtPr>
      <w:sdtEndPr>
        <w:rPr>
          <w:b/>
          <w:bCs/>
        </w:rPr>
      </w:sdtEndPr>
      <w:sdtContent>
        <w:p w14:paraId="7571137E" w14:textId="2A9CC564" w:rsidR="009A4070" w:rsidRPr="0077427C" w:rsidRDefault="009A4070">
          <w:pPr>
            <w:pStyle w:val="Titolosommario"/>
            <w:rPr>
              <w:rFonts w:ascii="Times New Roman" w:hAnsi="Times New Roman" w:cs="Times New Roman"/>
              <w:color w:val="auto"/>
            </w:rPr>
          </w:pPr>
        </w:p>
        <w:p w14:paraId="50D03264" w14:textId="7271FBBF" w:rsidR="0071608A" w:rsidRPr="0077427C" w:rsidRDefault="009A4070">
          <w:pPr>
            <w:pStyle w:val="Sommario1"/>
            <w:rPr>
              <w:rFonts w:asciiTheme="minorHAnsi" w:eastAsiaTheme="minorEastAsia" w:hAnsiTheme="minorHAnsi" w:cstheme="minorBidi"/>
              <w:b w:val="0"/>
              <w:smallCaps w:val="0"/>
              <w:sz w:val="22"/>
              <w:szCs w:val="22"/>
            </w:rPr>
          </w:pPr>
          <w:r w:rsidRPr="0077427C">
            <w:fldChar w:fldCharType="begin"/>
          </w:r>
          <w:r w:rsidRPr="0077427C">
            <w:instrText xml:space="preserve"> TOC \o "1-3" \h \z \u </w:instrText>
          </w:r>
          <w:r w:rsidRPr="0077427C">
            <w:fldChar w:fldCharType="separate"/>
          </w:r>
          <w:hyperlink w:anchor="_Toc190697359" w:history="1">
            <w:r w:rsidR="0071608A" w:rsidRPr="0077427C">
              <w:rPr>
                <w:rStyle w:val="Collegamentoipertestuale"/>
              </w:rPr>
              <w:t>1. IL PROGRAMMA DELL’INDAGINE</w:t>
            </w:r>
            <w:r w:rsidR="0071608A" w:rsidRPr="0077427C">
              <w:rPr>
                <w:webHidden/>
              </w:rPr>
              <w:tab/>
            </w:r>
            <w:r w:rsidR="0071608A" w:rsidRPr="0077427C">
              <w:rPr>
                <w:webHidden/>
              </w:rPr>
              <w:fldChar w:fldCharType="begin"/>
            </w:r>
            <w:r w:rsidR="0071608A" w:rsidRPr="0077427C">
              <w:rPr>
                <w:webHidden/>
              </w:rPr>
              <w:instrText xml:space="preserve"> PAGEREF _Toc190697359 \h </w:instrText>
            </w:r>
            <w:r w:rsidR="0071608A" w:rsidRPr="0077427C">
              <w:rPr>
                <w:webHidden/>
              </w:rPr>
            </w:r>
            <w:r w:rsidR="0071608A" w:rsidRPr="0077427C">
              <w:rPr>
                <w:webHidden/>
              </w:rPr>
              <w:fldChar w:fldCharType="separate"/>
            </w:r>
            <w:r w:rsidR="00F33C33" w:rsidRPr="0077427C">
              <w:rPr>
                <w:webHidden/>
              </w:rPr>
              <w:t>3</w:t>
            </w:r>
            <w:r w:rsidR="0071608A" w:rsidRPr="0077427C">
              <w:rPr>
                <w:webHidden/>
              </w:rPr>
              <w:fldChar w:fldCharType="end"/>
            </w:r>
          </w:hyperlink>
        </w:p>
        <w:p w14:paraId="5E2A02CA" w14:textId="3DA0E751" w:rsidR="0071608A" w:rsidRPr="0077427C" w:rsidRDefault="0071608A">
          <w:pPr>
            <w:pStyle w:val="Sommario1"/>
            <w:rPr>
              <w:rFonts w:asciiTheme="minorHAnsi" w:eastAsiaTheme="minorEastAsia" w:hAnsiTheme="minorHAnsi" w:cstheme="minorBidi"/>
              <w:b w:val="0"/>
              <w:smallCaps w:val="0"/>
              <w:sz w:val="22"/>
              <w:szCs w:val="22"/>
            </w:rPr>
          </w:pPr>
          <w:hyperlink w:anchor="_Toc190697360" w:history="1">
            <w:r w:rsidRPr="0077427C">
              <w:rPr>
                <w:rStyle w:val="Collegamentoipertestuale"/>
              </w:rPr>
              <w:t>2. IL QUADRO NORMATIVO</w:t>
            </w:r>
            <w:r w:rsidRPr="0077427C">
              <w:rPr>
                <w:webHidden/>
              </w:rPr>
              <w:tab/>
            </w:r>
            <w:r w:rsidRPr="0077427C">
              <w:rPr>
                <w:webHidden/>
              </w:rPr>
              <w:fldChar w:fldCharType="begin"/>
            </w:r>
            <w:r w:rsidRPr="0077427C">
              <w:rPr>
                <w:webHidden/>
              </w:rPr>
              <w:instrText xml:space="preserve"> PAGEREF _Toc190697360 \h </w:instrText>
            </w:r>
            <w:r w:rsidRPr="0077427C">
              <w:rPr>
                <w:webHidden/>
              </w:rPr>
            </w:r>
            <w:r w:rsidRPr="0077427C">
              <w:rPr>
                <w:webHidden/>
              </w:rPr>
              <w:fldChar w:fldCharType="separate"/>
            </w:r>
            <w:r w:rsidR="00F33C33" w:rsidRPr="0077427C">
              <w:rPr>
                <w:webHidden/>
              </w:rPr>
              <w:t>5</w:t>
            </w:r>
            <w:r w:rsidRPr="0077427C">
              <w:rPr>
                <w:webHidden/>
              </w:rPr>
              <w:fldChar w:fldCharType="end"/>
            </w:r>
          </w:hyperlink>
        </w:p>
        <w:p w14:paraId="0CB9DEC5" w14:textId="2F1AD011" w:rsidR="0071608A" w:rsidRPr="0077427C" w:rsidRDefault="0071608A">
          <w:pPr>
            <w:pStyle w:val="Sommario2"/>
            <w:tabs>
              <w:tab w:val="left" w:pos="1100"/>
            </w:tabs>
            <w:rPr>
              <w:rFonts w:asciiTheme="minorHAnsi" w:eastAsiaTheme="minorEastAsia" w:hAnsiTheme="minorHAnsi" w:cstheme="minorBidi"/>
              <w:b w:val="0"/>
              <w:szCs w:val="22"/>
            </w:rPr>
          </w:pPr>
          <w:hyperlink w:anchor="_Toc190697361" w:history="1">
            <w:r w:rsidRPr="0077427C">
              <w:rPr>
                <w:rStyle w:val="Collegamentoipertestuale"/>
              </w:rPr>
              <w:t>2.1</w:t>
            </w:r>
            <w:r w:rsidRPr="0077427C">
              <w:rPr>
                <w:rFonts w:asciiTheme="minorHAnsi" w:eastAsiaTheme="minorEastAsia" w:hAnsiTheme="minorHAnsi" w:cstheme="minorBidi"/>
                <w:b w:val="0"/>
                <w:szCs w:val="22"/>
              </w:rPr>
              <w:tab/>
            </w:r>
            <w:r w:rsidRPr="0077427C">
              <w:rPr>
                <w:rStyle w:val="Collegamentoipertestuale"/>
              </w:rPr>
              <w:t>Gli incentivi fiscali in materia edilizia</w:t>
            </w:r>
            <w:r w:rsidRPr="0077427C">
              <w:rPr>
                <w:webHidden/>
              </w:rPr>
              <w:tab/>
            </w:r>
            <w:r w:rsidRPr="0077427C">
              <w:rPr>
                <w:webHidden/>
              </w:rPr>
              <w:fldChar w:fldCharType="begin"/>
            </w:r>
            <w:r w:rsidRPr="0077427C">
              <w:rPr>
                <w:webHidden/>
              </w:rPr>
              <w:instrText xml:space="preserve"> PAGEREF _Toc190697361 \h </w:instrText>
            </w:r>
            <w:r w:rsidRPr="0077427C">
              <w:rPr>
                <w:webHidden/>
              </w:rPr>
            </w:r>
            <w:r w:rsidRPr="0077427C">
              <w:rPr>
                <w:webHidden/>
              </w:rPr>
              <w:fldChar w:fldCharType="separate"/>
            </w:r>
            <w:r w:rsidR="00F33C33" w:rsidRPr="0077427C">
              <w:rPr>
                <w:webHidden/>
              </w:rPr>
              <w:t>5</w:t>
            </w:r>
            <w:r w:rsidRPr="0077427C">
              <w:rPr>
                <w:webHidden/>
              </w:rPr>
              <w:fldChar w:fldCharType="end"/>
            </w:r>
          </w:hyperlink>
        </w:p>
        <w:p w14:paraId="51A3E7CF" w14:textId="2EC31C02" w:rsidR="0071608A" w:rsidRPr="0077427C" w:rsidRDefault="0071608A">
          <w:pPr>
            <w:pStyle w:val="Sommario2"/>
            <w:tabs>
              <w:tab w:val="left" w:pos="1100"/>
            </w:tabs>
            <w:rPr>
              <w:rFonts w:asciiTheme="minorHAnsi" w:eastAsiaTheme="minorEastAsia" w:hAnsiTheme="minorHAnsi" w:cstheme="minorBidi"/>
              <w:b w:val="0"/>
              <w:szCs w:val="22"/>
            </w:rPr>
          </w:pPr>
          <w:hyperlink w:anchor="_Toc190697362" w:history="1">
            <w:r w:rsidRPr="0077427C">
              <w:rPr>
                <w:rStyle w:val="Collegamentoipertestuale"/>
              </w:rPr>
              <w:t>2.2</w:t>
            </w:r>
            <w:r w:rsidRPr="0077427C">
              <w:rPr>
                <w:rFonts w:asciiTheme="minorHAnsi" w:eastAsiaTheme="minorEastAsia" w:hAnsiTheme="minorHAnsi" w:cstheme="minorBidi"/>
                <w:b w:val="0"/>
                <w:szCs w:val="22"/>
              </w:rPr>
              <w:tab/>
            </w:r>
            <w:r w:rsidRPr="0077427C">
              <w:rPr>
                <w:rStyle w:val="Collegamentoipertestuale"/>
              </w:rPr>
              <w:t xml:space="preserve"> L’efficienza energetica degli edifici</w:t>
            </w:r>
            <w:r w:rsidRPr="0077427C">
              <w:rPr>
                <w:webHidden/>
              </w:rPr>
              <w:tab/>
            </w:r>
            <w:r w:rsidRPr="0077427C">
              <w:rPr>
                <w:webHidden/>
              </w:rPr>
              <w:fldChar w:fldCharType="begin"/>
            </w:r>
            <w:r w:rsidRPr="0077427C">
              <w:rPr>
                <w:webHidden/>
              </w:rPr>
              <w:instrText xml:space="preserve"> PAGEREF _Toc190697362 \h </w:instrText>
            </w:r>
            <w:r w:rsidRPr="0077427C">
              <w:rPr>
                <w:webHidden/>
              </w:rPr>
            </w:r>
            <w:r w:rsidRPr="0077427C">
              <w:rPr>
                <w:webHidden/>
              </w:rPr>
              <w:fldChar w:fldCharType="separate"/>
            </w:r>
            <w:r w:rsidR="00F33C33" w:rsidRPr="0077427C">
              <w:rPr>
                <w:webHidden/>
              </w:rPr>
              <w:t>11</w:t>
            </w:r>
            <w:r w:rsidRPr="0077427C">
              <w:rPr>
                <w:webHidden/>
              </w:rPr>
              <w:fldChar w:fldCharType="end"/>
            </w:r>
          </w:hyperlink>
        </w:p>
        <w:p w14:paraId="1800CB8A" w14:textId="07876C14" w:rsidR="0071608A" w:rsidRPr="0077427C" w:rsidRDefault="0071608A">
          <w:pPr>
            <w:pStyle w:val="Sommario2"/>
            <w:tabs>
              <w:tab w:val="left" w:pos="1100"/>
            </w:tabs>
            <w:rPr>
              <w:rFonts w:asciiTheme="minorHAnsi" w:eastAsiaTheme="minorEastAsia" w:hAnsiTheme="minorHAnsi" w:cstheme="minorBidi"/>
              <w:b w:val="0"/>
              <w:szCs w:val="22"/>
            </w:rPr>
          </w:pPr>
          <w:hyperlink w:anchor="_Toc190697363" w:history="1">
            <w:r w:rsidRPr="0077427C">
              <w:rPr>
                <w:rStyle w:val="Collegamentoipertestuale"/>
              </w:rPr>
              <w:t>2.3</w:t>
            </w:r>
            <w:r w:rsidRPr="0077427C">
              <w:rPr>
                <w:rFonts w:asciiTheme="minorHAnsi" w:eastAsiaTheme="minorEastAsia" w:hAnsiTheme="minorHAnsi" w:cstheme="minorBidi"/>
                <w:b w:val="0"/>
                <w:szCs w:val="22"/>
              </w:rPr>
              <w:tab/>
            </w:r>
            <w:r w:rsidRPr="0077427C">
              <w:rPr>
                <w:rStyle w:val="Collegamentoipertestuale"/>
              </w:rPr>
              <w:t xml:space="preserve"> Il quadro nazionale delle emissioni di gas ad effetto serra</w:t>
            </w:r>
            <w:r w:rsidRPr="0077427C">
              <w:rPr>
                <w:webHidden/>
              </w:rPr>
              <w:tab/>
            </w:r>
            <w:r w:rsidRPr="0077427C">
              <w:rPr>
                <w:webHidden/>
              </w:rPr>
              <w:fldChar w:fldCharType="begin"/>
            </w:r>
            <w:r w:rsidRPr="0077427C">
              <w:rPr>
                <w:webHidden/>
              </w:rPr>
              <w:instrText xml:space="preserve"> PAGEREF _Toc190697363 \h </w:instrText>
            </w:r>
            <w:r w:rsidRPr="0077427C">
              <w:rPr>
                <w:webHidden/>
              </w:rPr>
            </w:r>
            <w:r w:rsidRPr="0077427C">
              <w:rPr>
                <w:webHidden/>
              </w:rPr>
              <w:fldChar w:fldCharType="separate"/>
            </w:r>
            <w:r w:rsidR="00F33C33" w:rsidRPr="0077427C">
              <w:rPr>
                <w:webHidden/>
              </w:rPr>
              <w:t>15</w:t>
            </w:r>
            <w:r w:rsidRPr="0077427C">
              <w:rPr>
                <w:webHidden/>
              </w:rPr>
              <w:fldChar w:fldCharType="end"/>
            </w:r>
          </w:hyperlink>
        </w:p>
        <w:p w14:paraId="718D30B7" w14:textId="3C8C7E5E" w:rsidR="0071608A" w:rsidRPr="0077427C" w:rsidRDefault="0071608A">
          <w:pPr>
            <w:pStyle w:val="Sommario1"/>
            <w:rPr>
              <w:rFonts w:asciiTheme="minorHAnsi" w:eastAsiaTheme="minorEastAsia" w:hAnsiTheme="minorHAnsi" w:cstheme="minorBidi"/>
              <w:b w:val="0"/>
              <w:smallCaps w:val="0"/>
              <w:sz w:val="22"/>
              <w:szCs w:val="22"/>
            </w:rPr>
          </w:pPr>
          <w:hyperlink w:anchor="_Toc190697364" w:history="1">
            <w:r w:rsidRPr="0077427C">
              <w:rPr>
                <w:rStyle w:val="Collegamentoipertestuale"/>
              </w:rPr>
              <w:t>3. SINTESI DELLE AUDIZIONI SVOLTE E DEI DOCUMENTI TRASMESSI</w:t>
            </w:r>
            <w:r w:rsidRPr="0077427C">
              <w:rPr>
                <w:webHidden/>
              </w:rPr>
              <w:tab/>
            </w:r>
            <w:r w:rsidRPr="0077427C">
              <w:rPr>
                <w:webHidden/>
              </w:rPr>
              <w:fldChar w:fldCharType="begin"/>
            </w:r>
            <w:r w:rsidRPr="0077427C">
              <w:rPr>
                <w:webHidden/>
              </w:rPr>
              <w:instrText xml:space="preserve"> PAGEREF _Toc190697364 \h </w:instrText>
            </w:r>
            <w:r w:rsidRPr="0077427C">
              <w:rPr>
                <w:webHidden/>
              </w:rPr>
            </w:r>
            <w:r w:rsidRPr="0077427C">
              <w:rPr>
                <w:webHidden/>
              </w:rPr>
              <w:fldChar w:fldCharType="separate"/>
            </w:r>
            <w:r w:rsidR="00F33C33" w:rsidRPr="0077427C">
              <w:rPr>
                <w:webHidden/>
              </w:rPr>
              <w:t>18</w:t>
            </w:r>
            <w:r w:rsidRPr="0077427C">
              <w:rPr>
                <w:webHidden/>
              </w:rPr>
              <w:fldChar w:fldCharType="end"/>
            </w:r>
          </w:hyperlink>
        </w:p>
        <w:p w14:paraId="5092D68A" w14:textId="391AF8F6" w:rsidR="0071608A" w:rsidRPr="0077427C" w:rsidRDefault="0071608A">
          <w:pPr>
            <w:pStyle w:val="Sommario1"/>
            <w:rPr>
              <w:rFonts w:asciiTheme="minorHAnsi" w:eastAsiaTheme="minorEastAsia" w:hAnsiTheme="minorHAnsi" w:cstheme="minorBidi"/>
              <w:b w:val="0"/>
              <w:smallCaps w:val="0"/>
              <w:sz w:val="22"/>
              <w:szCs w:val="22"/>
            </w:rPr>
          </w:pPr>
          <w:hyperlink w:anchor="_Toc190697365" w:history="1">
            <w:r w:rsidRPr="0077427C">
              <w:rPr>
                <w:rStyle w:val="Collegamentoipertestuale"/>
              </w:rPr>
              <w:t>4. Considerazioni conclusive</w:t>
            </w:r>
            <w:r w:rsidRPr="0077427C">
              <w:rPr>
                <w:webHidden/>
              </w:rPr>
              <w:tab/>
            </w:r>
            <w:r w:rsidRPr="0077427C">
              <w:rPr>
                <w:webHidden/>
              </w:rPr>
              <w:fldChar w:fldCharType="begin"/>
            </w:r>
            <w:r w:rsidRPr="0077427C">
              <w:rPr>
                <w:webHidden/>
              </w:rPr>
              <w:instrText xml:space="preserve"> PAGEREF _Toc190697365 \h </w:instrText>
            </w:r>
            <w:r w:rsidRPr="0077427C">
              <w:rPr>
                <w:webHidden/>
              </w:rPr>
            </w:r>
            <w:r w:rsidRPr="0077427C">
              <w:rPr>
                <w:webHidden/>
              </w:rPr>
              <w:fldChar w:fldCharType="separate"/>
            </w:r>
            <w:r w:rsidR="00F33C33" w:rsidRPr="0077427C">
              <w:rPr>
                <w:webHidden/>
              </w:rPr>
              <w:t>47</w:t>
            </w:r>
            <w:r w:rsidRPr="0077427C">
              <w:rPr>
                <w:webHidden/>
              </w:rPr>
              <w:fldChar w:fldCharType="end"/>
            </w:r>
          </w:hyperlink>
        </w:p>
        <w:p w14:paraId="0E05C349" w14:textId="40D7825D" w:rsidR="009A4070" w:rsidRPr="0077427C" w:rsidRDefault="009A4070">
          <w:r w:rsidRPr="0077427C">
            <w:rPr>
              <w:b/>
              <w:bCs/>
            </w:rPr>
            <w:fldChar w:fldCharType="end"/>
          </w:r>
        </w:p>
      </w:sdtContent>
    </w:sdt>
    <w:p w14:paraId="7FD5D25A" w14:textId="77777777" w:rsidR="00EC341A" w:rsidRPr="0077427C" w:rsidRDefault="00EC341A" w:rsidP="000C484A">
      <w:pPr>
        <w:autoSpaceDE w:val="0"/>
        <w:autoSpaceDN w:val="0"/>
        <w:adjustRightInd w:val="0"/>
        <w:spacing w:line="480" w:lineRule="auto"/>
        <w:jc w:val="center"/>
        <w:rPr>
          <w:rFonts w:ascii="Times New Roman" w:hAnsi="Times New Roman"/>
          <w:b/>
          <w:sz w:val="26"/>
          <w:szCs w:val="26"/>
        </w:rPr>
      </w:pPr>
    </w:p>
    <w:p w14:paraId="2762BE52" w14:textId="77777777" w:rsidR="003F1570" w:rsidRPr="0077427C" w:rsidRDefault="003F1570" w:rsidP="000C484A">
      <w:pPr>
        <w:spacing w:after="160" w:line="480" w:lineRule="auto"/>
        <w:ind w:firstLine="0"/>
        <w:jc w:val="left"/>
        <w:rPr>
          <w:rFonts w:ascii="Times New Roman" w:hAnsi="Times New Roman"/>
          <w:sz w:val="26"/>
          <w:szCs w:val="26"/>
        </w:rPr>
      </w:pPr>
      <w:r w:rsidRPr="0077427C">
        <w:rPr>
          <w:rFonts w:ascii="Times New Roman" w:hAnsi="Times New Roman"/>
          <w:sz w:val="26"/>
          <w:szCs w:val="26"/>
        </w:rPr>
        <w:br w:type="page"/>
      </w:r>
    </w:p>
    <w:p w14:paraId="794DE86F" w14:textId="77777777" w:rsidR="00EC341A" w:rsidRPr="0077427C" w:rsidRDefault="00EC341A" w:rsidP="00102E5B">
      <w:pPr>
        <w:pStyle w:val="Titolo1"/>
        <w:jc w:val="both"/>
      </w:pPr>
      <w:bookmarkStart w:id="0" w:name="_Toc243974385"/>
      <w:bookmarkStart w:id="1" w:name="_Toc190697359"/>
      <w:r w:rsidRPr="0077427C">
        <w:t>1. IL PROGRAMMA DELL’INDAGINE</w:t>
      </w:r>
      <w:bookmarkEnd w:id="0"/>
      <w:bookmarkEnd w:id="1"/>
    </w:p>
    <w:p w14:paraId="3CDADF10" w14:textId="77777777" w:rsidR="00EC341A" w:rsidRPr="0077427C" w:rsidRDefault="00EC341A" w:rsidP="00EC341A">
      <w:pPr>
        <w:spacing w:line="240" w:lineRule="auto"/>
        <w:ind w:firstLine="0"/>
        <w:jc w:val="left"/>
        <w:rPr>
          <w:rFonts w:ascii="Times New Roman" w:hAnsi="Times New Roman"/>
          <w:b/>
          <w:sz w:val="26"/>
          <w:szCs w:val="26"/>
        </w:rPr>
      </w:pPr>
    </w:p>
    <w:p w14:paraId="33AC42A7" w14:textId="77777777" w:rsidR="00EC341A" w:rsidRPr="0077427C" w:rsidRDefault="00EC341A" w:rsidP="00EC341A">
      <w:pPr>
        <w:spacing w:line="240" w:lineRule="auto"/>
        <w:rPr>
          <w:rFonts w:ascii="Times New Roman" w:hAnsi="Times New Roman"/>
          <w:sz w:val="26"/>
          <w:szCs w:val="26"/>
        </w:rPr>
      </w:pPr>
      <w:r w:rsidRPr="0077427C">
        <w:rPr>
          <w:rFonts w:ascii="Times New Roman" w:hAnsi="Times New Roman"/>
          <w:sz w:val="26"/>
          <w:szCs w:val="26"/>
        </w:rPr>
        <w:t xml:space="preserve">Nella seduta del 15 marzo 2023 la Commissione Ambiente della Camera dei deputati ha deliberato, ai sensi dell'articolo 144 del Regolamento, lo svolgimento di un'indagine conoscitiva sull'impatto ambientale degli incentivi in materia edilizia. </w:t>
      </w:r>
    </w:p>
    <w:p w14:paraId="7285D256" w14:textId="77777777" w:rsidR="00EC341A" w:rsidRPr="0077427C" w:rsidRDefault="00EC341A" w:rsidP="00EC341A">
      <w:pPr>
        <w:spacing w:line="240" w:lineRule="auto"/>
        <w:rPr>
          <w:rFonts w:ascii="Times New Roman" w:hAnsi="Times New Roman"/>
          <w:sz w:val="26"/>
          <w:szCs w:val="26"/>
        </w:rPr>
      </w:pPr>
      <w:r w:rsidRPr="0077427C">
        <w:rPr>
          <w:rFonts w:ascii="Times New Roman" w:hAnsi="Times New Roman"/>
          <w:sz w:val="26"/>
          <w:szCs w:val="26"/>
        </w:rPr>
        <w:t xml:space="preserve">L’avvio dell’indagine si è collocato nella fase iniziale della legislatura in cui si è registrata a livello parlamentare una forte richiesta di approfondimenti nella materia degli incentivi in materia edilizia, allo scopo di valutarne gli effetti nel tempo. Si è pertanto svolta un’indagine conoscitiva della V Commissione </w:t>
      </w:r>
      <w:r w:rsidR="003F1570" w:rsidRPr="0077427C">
        <w:rPr>
          <w:rFonts w:ascii="Times New Roman" w:hAnsi="Times New Roman"/>
          <w:sz w:val="26"/>
          <w:szCs w:val="26"/>
        </w:rPr>
        <w:t>B</w:t>
      </w:r>
      <w:r w:rsidRPr="0077427C">
        <w:rPr>
          <w:rFonts w:ascii="Times New Roman" w:hAnsi="Times New Roman"/>
          <w:sz w:val="26"/>
          <w:szCs w:val="26"/>
        </w:rPr>
        <w:t xml:space="preserve">ilancio sugli effetti macroeconomici e di finanza pubblica derivanti dagli incentivi fiscali in materia </w:t>
      </w:r>
      <w:r w:rsidR="0079169C" w:rsidRPr="0077427C">
        <w:rPr>
          <w:rFonts w:ascii="Times New Roman" w:hAnsi="Times New Roman"/>
          <w:sz w:val="26"/>
          <w:szCs w:val="26"/>
        </w:rPr>
        <w:t>edilizia</w:t>
      </w:r>
      <w:r w:rsidRPr="0077427C">
        <w:rPr>
          <w:rFonts w:ascii="Times New Roman" w:hAnsi="Times New Roman"/>
          <w:sz w:val="26"/>
          <w:szCs w:val="26"/>
        </w:rPr>
        <w:t xml:space="preserve">, </w:t>
      </w:r>
      <w:r w:rsidR="00711667" w:rsidRPr="0077427C">
        <w:rPr>
          <w:rFonts w:ascii="Times New Roman" w:hAnsi="Times New Roman"/>
          <w:sz w:val="26"/>
          <w:szCs w:val="26"/>
        </w:rPr>
        <w:t xml:space="preserve">che è stata </w:t>
      </w:r>
      <w:r w:rsidRPr="0077427C">
        <w:rPr>
          <w:rFonts w:ascii="Times New Roman" w:hAnsi="Times New Roman"/>
          <w:sz w:val="26"/>
          <w:szCs w:val="26"/>
        </w:rPr>
        <w:t xml:space="preserve">deliberata il 28 febbraio 2023. Sempre sugli strumenti di incentivazione fiscale, con particolare riguardo ai crediti di imposta, </w:t>
      </w:r>
      <w:r w:rsidR="00711667" w:rsidRPr="0077427C">
        <w:rPr>
          <w:rFonts w:ascii="Times New Roman" w:hAnsi="Times New Roman"/>
          <w:sz w:val="26"/>
          <w:szCs w:val="26"/>
        </w:rPr>
        <w:t>è stata</w:t>
      </w:r>
      <w:r w:rsidRPr="0077427C">
        <w:rPr>
          <w:rFonts w:ascii="Times New Roman" w:hAnsi="Times New Roman"/>
          <w:sz w:val="26"/>
          <w:szCs w:val="26"/>
        </w:rPr>
        <w:t xml:space="preserve"> svolta nei primi mesi del 2023 </w:t>
      </w:r>
      <w:r w:rsidR="00711667" w:rsidRPr="0077427C">
        <w:rPr>
          <w:rFonts w:ascii="Times New Roman" w:hAnsi="Times New Roman"/>
          <w:sz w:val="26"/>
          <w:szCs w:val="26"/>
        </w:rPr>
        <w:t xml:space="preserve">un’indagine conoscitiva </w:t>
      </w:r>
      <w:r w:rsidRPr="0077427C">
        <w:rPr>
          <w:rFonts w:ascii="Times New Roman" w:hAnsi="Times New Roman"/>
          <w:sz w:val="26"/>
          <w:szCs w:val="26"/>
        </w:rPr>
        <w:t>da</w:t>
      </w:r>
      <w:r w:rsidR="00711667" w:rsidRPr="0077427C">
        <w:rPr>
          <w:rFonts w:ascii="Times New Roman" w:hAnsi="Times New Roman"/>
          <w:sz w:val="26"/>
          <w:szCs w:val="26"/>
        </w:rPr>
        <w:t xml:space="preserve"> parte de</w:t>
      </w:r>
      <w:r w:rsidRPr="0077427C">
        <w:rPr>
          <w:rFonts w:ascii="Times New Roman" w:hAnsi="Times New Roman"/>
          <w:sz w:val="26"/>
          <w:szCs w:val="26"/>
        </w:rPr>
        <w:t xml:space="preserve">lla </w:t>
      </w:r>
      <w:proofErr w:type="gramStart"/>
      <w:r w:rsidRPr="0077427C">
        <w:rPr>
          <w:rFonts w:ascii="Times New Roman" w:hAnsi="Times New Roman"/>
          <w:sz w:val="26"/>
          <w:szCs w:val="26"/>
        </w:rPr>
        <w:t>6</w:t>
      </w:r>
      <w:r w:rsidR="00E34485" w:rsidRPr="0077427C">
        <w:rPr>
          <w:rFonts w:ascii="Times New Roman" w:hAnsi="Times New Roman"/>
          <w:sz w:val="26"/>
          <w:szCs w:val="26"/>
          <w:vertAlign w:val="superscript"/>
        </w:rPr>
        <w:t>a</w:t>
      </w:r>
      <w:proofErr w:type="gramEnd"/>
      <w:r w:rsidRPr="0077427C">
        <w:rPr>
          <w:rFonts w:ascii="Times New Roman" w:hAnsi="Times New Roman"/>
          <w:sz w:val="26"/>
          <w:szCs w:val="26"/>
        </w:rPr>
        <w:t xml:space="preserve"> commissione Finanze e tesoro del Senato della Repubblica.  </w:t>
      </w:r>
    </w:p>
    <w:p w14:paraId="12E32CFF" w14:textId="77777777" w:rsidR="00EC341A" w:rsidRPr="0077427C" w:rsidRDefault="00EC341A" w:rsidP="00EC341A">
      <w:pPr>
        <w:spacing w:line="240" w:lineRule="auto"/>
        <w:rPr>
          <w:rFonts w:ascii="Times New Roman" w:hAnsi="Times New Roman"/>
          <w:sz w:val="26"/>
          <w:szCs w:val="26"/>
        </w:rPr>
      </w:pPr>
      <w:r w:rsidRPr="0077427C">
        <w:rPr>
          <w:rFonts w:ascii="Times New Roman" w:hAnsi="Times New Roman"/>
          <w:sz w:val="26"/>
          <w:szCs w:val="26"/>
        </w:rPr>
        <w:t xml:space="preserve">Le detrazioni fiscali per gli interventi di recupero del patrimonio edilizio, per l’adeguamento antisismico e quelle per la riqualificazione energetica hanno rivestito un ruolo via via crescente nel mercato delle costruzioni. L’introduzione a maggio 2020 del cosiddetto </w:t>
      </w:r>
      <w:r w:rsidR="003F1570" w:rsidRPr="0077427C">
        <w:rPr>
          <w:rFonts w:ascii="Times New Roman" w:hAnsi="Times New Roman"/>
          <w:i/>
          <w:sz w:val="26"/>
          <w:szCs w:val="26"/>
        </w:rPr>
        <w:t>s</w:t>
      </w:r>
      <w:r w:rsidRPr="0077427C">
        <w:rPr>
          <w:rFonts w:ascii="Times New Roman" w:hAnsi="Times New Roman"/>
          <w:i/>
          <w:sz w:val="26"/>
          <w:szCs w:val="26"/>
        </w:rPr>
        <w:t>uperbonus</w:t>
      </w:r>
      <w:r w:rsidR="00711667" w:rsidRPr="0077427C">
        <w:rPr>
          <w:rFonts w:ascii="Times New Roman" w:hAnsi="Times New Roman"/>
          <w:sz w:val="26"/>
          <w:szCs w:val="26"/>
        </w:rPr>
        <w:t>, consistente in una</w:t>
      </w:r>
      <w:r w:rsidRPr="0077427C">
        <w:rPr>
          <w:rFonts w:ascii="Times New Roman" w:hAnsi="Times New Roman"/>
          <w:sz w:val="26"/>
          <w:szCs w:val="26"/>
        </w:rPr>
        <w:t xml:space="preserve"> detrazione del 110% per alcune tipologie di interventi, ha arricchito notevolmente il quadro di riferimento, imponendo una verifica più approfondita dei risultati conseguiti a livello ambientale.</w:t>
      </w:r>
    </w:p>
    <w:p w14:paraId="304200F0" w14:textId="77777777" w:rsidR="00EC341A" w:rsidRPr="0077427C" w:rsidRDefault="00EC341A" w:rsidP="00EC341A">
      <w:pPr>
        <w:spacing w:line="240" w:lineRule="auto"/>
        <w:rPr>
          <w:rFonts w:ascii="Times New Roman" w:hAnsi="Times New Roman"/>
          <w:sz w:val="26"/>
          <w:szCs w:val="26"/>
        </w:rPr>
      </w:pPr>
      <w:r w:rsidRPr="0077427C">
        <w:rPr>
          <w:rFonts w:ascii="Times New Roman" w:hAnsi="Times New Roman"/>
          <w:sz w:val="26"/>
          <w:szCs w:val="26"/>
        </w:rPr>
        <w:t xml:space="preserve">La Commissione ha inteso valutare, anche alla luce dell’evoluzione della normativa europea in materia di prestazioni energetiche degli edifici per il raggiungimento dell’obiettivo di azzeramento delle emissioni </w:t>
      </w:r>
      <w:r w:rsidR="000B64DF" w:rsidRPr="0077427C">
        <w:rPr>
          <w:rFonts w:ascii="Times New Roman" w:hAnsi="Times New Roman"/>
          <w:sz w:val="26"/>
          <w:szCs w:val="26"/>
        </w:rPr>
        <w:t>del parco immobiliare entro il</w:t>
      </w:r>
      <w:r w:rsidRPr="0077427C">
        <w:rPr>
          <w:rFonts w:ascii="Times New Roman" w:hAnsi="Times New Roman"/>
          <w:sz w:val="26"/>
          <w:szCs w:val="26"/>
        </w:rPr>
        <w:t xml:space="preserve"> 2050, l’efficacia degli incentivi fiscali in materia edilizia, in relazione al raggiungimento degli obiettivi climatici, al risparmio energetico, alla promozione dell’autonomia energetica da fonti rinnovabili, nonché alla messa in sicurezza sismica del patrimonio edilizio. È apparso importante valutare anche l’efficacia degli strumenti regolatori degli incentivi edilizi, con particolare riferimento agli adempimenti burocratici richiesti, ai fini di una migliore fruibilità delle agevolazioni e del bilanciamento tra esigenze di controllo e necessità di semplificazione.</w:t>
      </w:r>
    </w:p>
    <w:p w14:paraId="6F2AC9E8" w14:textId="77777777" w:rsidR="00EC341A" w:rsidRPr="0077427C" w:rsidRDefault="00EC341A" w:rsidP="00EC341A">
      <w:pPr>
        <w:spacing w:line="240" w:lineRule="auto"/>
        <w:rPr>
          <w:rFonts w:ascii="Times New Roman" w:hAnsi="Times New Roman"/>
          <w:sz w:val="26"/>
          <w:szCs w:val="26"/>
        </w:rPr>
      </w:pPr>
      <w:r w:rsidRPr="0077427C">
        <w:rPr>
          <w:rFonts w:ascii="Times New Roman" w:hAnsi="Times New Roman"/>
          <w:sz w:val="26"/>
          <w:szCs w:val="26"/>
        </w:rPr>
        <w:t xml:space="preserve">Scopo dell’indagine è stato pertanto quello di valutare gli effetti delle </w:t>
      </w:r>
      <w:proofErr w:type="gramStart"/>
      <w:r w:rsidRPr="0077427C">
        <w:rPr>
          <w:rFonts w:ascii="Times New Roman" w:hAnsi="Times New Roman"/>
          <w:sz w:val="26"/>
          <w:szCs w:val="26"/>
        </w:rPr>
        <w:t>predette</w:t>
      </w:r>
      <w:proofErr w:type="gramEnd"/>
      <w:r w:rsidRPr="0077427C">
        <w:rPr>
          <w:rFonts w:ascii="Times New Roman" w:hAnsi="Times New Roman"/>
          <w:sz w:val="26"/>
          <w:szCs w:val="26"/>
        </w:rPr>
        <w:t xml:space="preserve"> agevolazioni, con particolare riguardo anche al cosiddetto </w:t>
      </w:r>
      <w:r w:rsidRPr="0077427C">
        <w:rPr>
          <w:rFonts w:ascii="Times New Roman" w:hAnsi="Times New Roman"/>
          <w:i/>
          <w:sz w:val="26"/>
          <w:szCs w:val="26"/>
        </w:rPr>
        <w:t>superbonus</w:t>
      </w:r>
      <w:r w:rsidRPr="0077427C">
        <w:rPr>
          <w:rFonts w:ascii="Times New Roman" w:hAnsi="Times New Roman"/>
          <w:sz w:val="26"/>
          <w:szCs w:val="26"/>
        </w:rPr>
        <w:t xml:space="preserve">: </w:t>
      </w:r>
    </w:p>
    <w:p w14:paraId="5790B780" w14:textId="77777777" w:rsidR="00EC341A" w:rsidRPr="0077427C" w:rsidRDefault="00EC341A" w:rsidP="00EC341A">
      <w:pPr>
        <w:spacing w:line="240" w:lineRule="auto"/>
        <w:rPr>
          <w:rFonts w:ascii="Times New Roman" w:hAnsi="Times New Roman"/>
          <w:sz w:val="26"/>
          <w:szCs w:val="26"/>
        </w:rPr>
      </w:pPr>
      <w:r w:rsidRPr="0077427C">
        <w:rPr>
          <w:rFonts w:ascii="Times New Roman" w:hAnsi="Times New Roman"/>
          <w:sz w:val="26"/>
          <w:szCs w:val="26"/>
        </w:rPr>
        <w:t>-</w:t>
      </w:r>
      <w:r w:rsidRPr="0077427C">
        <w:rPr>
          <w:rFonts w:ascii="Times New Roman" w:hAnsi="Times New Roman"/>
          <w:sz w:val="26"/>
          <w:szCs w:val="26"/>
        </w:rPr>
        <w:tab/>
        <w:t xml:space="preserve">sull’efficienza energetica e sulla sostenibilità ambientale, in termini di riduzione del consumo di energia da fonti fossili e delle emissioni di CO2, nonché di promozione dell’autonomia energetica da fonti rinnovabili, anche alla luce della distribuzione territoriale degli incentivi e della distinzione tra le abitazioni principali e le altre per quanto concerne l’edilizia residenziale; </w:t>
      </w:r>
    </w:p>
    <w:p w14:paraId="65DC8AD4" w14:textId="77777777" w:rsidR="00EC341A" w:rsidRPr="0077427C" w:rsidRDefault="00EC341A" w:rsidP="00EC341A">
      <w:pPr>
        <w:spacing w:line="240" w:lineRule="auto"/>
        <w:rPr>
          <w:rFonts w:ascii="Times New Roman" w:hAnsi="Times New Roman"/>
          <w:sz w:val="26"/>
          <w:szCs w:val="26"/>
        </w:rPr>
      </w:pPr>
      <w:r w:rsidRPr="0077427C">
        <w:rPr>
          <w:rFonts w:ascii="Times New Roman" w:hAnsi="Times New Roman"/>
          <w:sz w:val="26"/>
          <w:szCs w:val="26"/>
        </w:rPr>
        <w:t>-</w:t>
      </w:r>
      <w:r w:rsidRPr="0077427C">
        <w:rPr>
          <w:rFonts w:ascii="Times New Roman" w:hAnsi="Times New Roman"/>
          <w:sz w:val="26"/>
          <w:szCs w:val="26"/>
        </w:rPr>
        <w:tab/>
        <w:t>sul raggiungimento degli obiettivi di ristrutturazione e di miglioramento dell’efficienza energetica del parco immobiliare nazionale, anche al fine di approfondire le prospettive di sviluppo degli strumenti incentivanti alla luce altresì del dibattito a livello europeo sulla proposta di revisione della direttiva sulla prestazione energetica nell'edilizia;</w:t>
      </w:r>
    </w:p>
    <w:p w14:paraId="58C6E558" w14:textId="77777777" w:rsidR="00EC341A" w:rsidRPr="0077427C" w:rsidRDefault="00EC341A" w:rsidP="00EC341A">
      <w:pPr>
        <w:spacing w:line="240" w:lineRule="auto"/>
        <w:rPr>
          <w:rFonts w:ascii="Times New Roman" w:hAnsi="Times New Roman"/>
          <w:sz w:val="26"/>
          <w:szCs w:val="26"/>
        </w:rPr>
      </w:pPr>
      <w:r w:rsidRPr="0077427C">
        <w:rPr>
          <w:rFonts w:ascii="Times New Roman" w:hAnsi="Times New Roman"/>
          <w:sz w:val="26"/>
          <w:szCs w:val="26"/>
        </w:rPr>
        <w:t>-</w:t>
      </w:r>
      <w:r w:rsidRPr="0077427C">
        <w:rPr>
          <w:rFonts w:ascii="Times New Roman" w:hAnsi="Times New Roman"/>
          <w:sz w:val="26"/>
          <w:szCs w:val="26"/>
        </w:rPr>
        <w:tab/>
        <w:t>sulla messa in sicurezza sismica del patrimonio edilizio, anche al fine di stimare eventuali risparmi che potrebbero derivare per la realizzazione degli interventi di ricostruzione a fronte di eventi calamitosi;</w:t>
      </w:r>
    </w:p>
    <w:p w14:paraId="6159443F" w14:textId="77777777" w:rsidR="00EC341A" w:rsidRPr="0077427C" w:rsidRDefault="00EC341A" w:rsidP="00EC341A">
      <w:pPr>
        <w:spacing w:line="240" w:lineRule="auto"/>
        <w:rPr>
          <w:rFonts w:ascii="Times New Roman" w:hAnsi="Times New Roman"/>
          <w:sz w:val="26"/>
          <w:szCs w:val="26"/>
        </w:rPr>
      </w:pPr>
      <w:r w:rsidRPr="0077427C">
        <w:rPr>
          <w:rFonts w:ascii="Times New Roman" w:hAnsi="Times New Roman"/>
          <w:sz w:val="26"/>
          <w:szCs w:val="26"/>
        </w:rPr>
        <w:t>-</w:t>
      </w:r>
      <w:r w:rsidRPr="0077427C">
        <w:rPr>
          <w:rFonts w:ascii="Times New Roman" w:hAnsi="Times New Roman"/>
          <w:sz w:val="26"/>
          <w:szCs w:val="26"/>
        </w:rPr>
        <w:tab/>
        <w:t xml:space="preserve">sul </w:t>
      </w:r>
      <w:bookmarkStart w:id="2" w:name="_Hlk158813964"/>
      <w:r w:rsidRPr="0077427C">
        <w:rPr>
          <w:rFonts w:ascii="Times New Roman" w:hAnsi="Times New Roman"/>
          <w:sz w:val="26"/>
          <w:szCs w:val="26"/>
        </w:rPr>
        <w:t>miglioramento dell’efficienza energetica per gli interventi riguardanti gli edifici pubblici e l’edilizia residenziale pubblica</w:t>
      </w:r>
      <w:bookmarkEnd w:id="2"/>
      <w:r w:rsidRPr="0077427C">
        <w:rPr>
          <w:rFonts w:ascii="Times New Roman" w:hAnsi="Times New Roman"/>
          <w:sz w:val="26"/>
          <w:szCs w:val="26"/>
        </w:rPr>
        <w:t>, anche al fine di valutare se e in che misura gli strumenti di incentivazione (fiscale ma anche di altro tipo) già contemplati per gli interventi di recupero e ristrutturazione edilizia ed energetica di natura puntuale possano essere oggetto di revisione ovvero costituire un modello applicabile anche ad operazioni di rigenerazione urbana di più vasta portata;</w:t>
      </w:r>
    </w:p>
    <w:p w14:paraId="389C1894" w14:textId="77777777" w:rsidR="00EC341A" w:rsidRPr="0077427C" w:rsidRDefault="00EC341A" w:rsidP="00EC341A">
      <w:pPr>
        <w:spacing w:line="240" w:lineRule="auto"/>
        <w:rPr>
          <w:rFonts w:ascii="Times New Roman" w:hAnsi="Times New Roman"/>
          <w:sz w:val="26"/>
          <w:szCs w:val="26"/>
        </w:rPr>
      </w:pPr>
      <w:r w:rsidRPr="0077427C">
        <w:rPr>
          <w:rFonts w:ascii="Times New Roman" w:hAnsi="Times New Roman"/>
          <w:sz w:val="26"/>
          <w:szCs w:val="26"/>
        </w:rPr>
        <w:t>-</w:t>
      </w:r>
      <w:r w:rsidRPr="0077427C">
        <w:rPr>
          <w:rFonts w:ascii="Times New Roman" w:hAnsi="Times New Roman"/>
          <w:sz w:val="26"/>
          <w:szCs w:val="26"/>
        </w:rPr>
        <w:tab/>
        <w:t>sull’aumento dei prezzi dei materiali e delle materie prime, anche tenuto conto delle esperienze degli altri Paesi europei.</w:t>
      </w:r>
    </w:p>
    <w:p w14:paraId="5767AAA0" w14:textId="77777777" w:rsidR="00EC341A" w:rsidRPr="0077427C" w:rsidRDefault="00EC341A" w:rsidP="00EC341A">
      <w:pPr>
        <w:spacing w:line="240" w:lineRule="auto"/>
        <w:ind w:firstLine="0"/>
        <w:rPr>
          <w:rFonts w:ascii="Times New Roman" w:hAnsi="Times New Roman"/>
          <w:sz w:val="26"/>
          <w:szCs w:val="26"/>
        </w:rPr>
      </w:pPr>
    </w:p>
    <w:p w14:paraId="3F099331" w14:textId="77777777" w:rsidR="00EC341A" w:rsidRPr="0077427C" w:rsidRDefault="00EC341A" w:rsidP="00EA30C7">
      <w:pPr>
        <w:spacing w:line="240" w:lineRule="auto"/>
        <w:rPr>
          <w:rFonts w:ascii="Times New Roman" w:hAnsi="Times New Roman"/>
          <w:sz w:val="26"/>
          <w:szCs w:val="26"/>
        </w:rPr>
      </w:pPr>
      <w:r w:rsidRPr="0077427C">
        <w:rPr>
          <w:rFonts w:ascii="Times New Roman" w:hAnsi="Times New Roman"/>
          <w:sz w:val="26"/>
          <w:szCs w:val="26"/>
        </w:rPr>
        <w:t xml:space="preserve">Il termine per la conclusione dell’indagine, inizialmente fissato al 30 giugno 2023, è stato dapprima prorogato al 30 settembre e successivamente al 15 novembre 2023 con due successive deliberazioni, per consentire alla Commissione di </w:t>
      </w:r>
      <w:r w:rsidR="00723A92" w:rsidRPr="0077427C">
        <w:rPr>
          <w:rFonts w:ascii="Times New Roman" w:hAnsi="Times New Roman"/>
          <w:sz w:val="26"/>
          <w:szCs w:val="26"/>
        </w:rPr>
        <w:t>concluder</w:t>
      </w:r>
      <w:r w:rsidRPr="0077427C">
        <w:rPr>
          <w:rFonts w:ascii="Times New Roman" w:hAnsi="Times New Roman"/>
          <w:sz w:val="26"/>
          <w:szCs w:val="26"/>
        </w:rPr>
        <w:t xml:space="preserve">e le audizioni programmate. </w:t>
      </w:r>
    </w:p>
    <w:p w14:paraId="6D609B2F" w14:textId="49274132" w:rsidR="00EC341A" w:rsidRPr="0077427C" w:rsidRDefault="00EC341A" w:rsidP="00EC341A">
      <w:pPr>
        <w:spacing w:line="240" w:lineRule="auto"/>
        <w:rPr>
          <w:rFonts w:ascii="Times New Roman" w:hAnsi="Times New Roman"/>
          <w:sz w:val="26"/>
          <w:szCs w:val="26"/>
        </w:rPr>
      </w:pPr>
      <w:r w:rsidRPr="0077427C">
        <w:rPr>
          <w:rFonts w:ascii="Times New Roman" w:hAnsi="Times New Roman"/>
          <w:sz w:val="26"/>
          <w:szCs w:val="26"/>
        </w:rPr>
        <w:t xml:space="preserve">L’attività conoscitiva è stata avviata il 28 marzo 2023 con l’audizione dei rappresentanti di Amici della Terra, del WWF, di </w:t>
      </w:r>
      <w:r w:rsidR="00711667" w:rsidRPr="0077427C">
        <w:rPr>
          <w:rFonts w:ascii="Times New Roman" w:hAnsi="Times New Roman"/>
          <w:sz w:val="26"/>
          <w:szCs w:val="26"/>
        </w:rPr>
        <w:t>R</w:t>
      </w:r>
      <w:r w:rsidRPr="0077427C">
        <w:rPr>
          <w:rFonts w:ascii="Times New Roman" w:hAnsi="Times New Roman"/>
          <w:sz w:val="26"/>
          <w:szCs w:val="26"/>
        </w:rPr>
        <w:t xml:space="preserve">ete imprese </w:t>
      </w:r>
      <w:r w:rsidR="00711667" w:rsidRPr="0077427C">
        <w:rPr>
          <w:rFonts w:ascii="Times New Roman" w:hAnsi="Times New Roman"/>
          <w:sz w:val="26"/>
          <w:szCs w:val="26"/>
        </w:rPr>
        <w:t>m</w:t>
      </w:r>
      <w:r w:rsidRPr="0077427C">
        <w:rPr>
          <w:rFonts w:ascii="Times New Roman" w:hAnsi="Times New Roman"/>
          <w:sz w:val="26"/>
          <w:szCs w:val="26"/>
        </w:rPr>
        <w:t xml:space="preserve">aestri costruttori e di </w:t>
      </w:r>
      <w:proofErr w:type="spellStart"/>
      <w:r w:rsidRPr="0077427C">
        <w:rPr>
          <w:rFonts w:ascii="Times New Roman" w:hAnsi="Times New Roman"/>
          <w:sz w:val="26"/>
          <w:szCs w:val="26"/>
        </w:rPr>
        <w:t>AssoESCo</w:t>
      </w:r>
      <w:proofErr w:type="spellEnd"/>
      <w:r w:rsidRPr="0077427C">
        <w:rPr>
          <w:rFonts w:ascii="Times New Roman" w:hAnsi="Times New Roman"/>
          <w:sz w:val="26"/>
          <w:szCs w:val="26"/>
        </w:rPr>
        <w:t>, ed è quindi proseguita con le audizioni dei rappresentanti d</w:t>
      </w:r>
      <w:r w:rsidR="000B64DF" w:rsidRPr="0077427C">
        <w:rPr>
          <w:rFonts w:ascii="Times New Roman" w:hAnsi="Times New Roman"/>
          <w:sz w:val="26"/>
          <w:szCs w:val="26"/>
        </w:rPr>
        <w:t>ell’</w:t>
      </w:r>
      <w:r w:rsidRPr="0077427C">
        <w:rPr>
          <w:rFonts w:ascii="Times New Roman" w:hAnsi="Times New Roman"/>
          <w:sz w:val="26"/>
          <w:szCs w:val="26"/>
        </w:rPr>
        <w:t xml:space="preserve">Associazione Italiana Energie Agroforestali (AIEL), </w:t>
      </w:r>
      <w:r w:rsidR="000B64DF" w:rsidRPr="0077427C">
        <w:rPr>
          <w:rFonts w:ascii="Times New Roman" w:hAnsi="Times New Roman"/>
          <w:sz w:val="26"/>
          <w:szCs w:val="26"/>
        </w:rPr>
        <w:t>dell’</w:t>
      </w:r>
      <w:r w:rsidRPr="0077427C">
        <w:rPr>
          <w:rFonts w:ascii="Times New Roman" w:hAnsi="Times New Roman"/>
          <w:sz w:val="26"/>
          <w:szCs w:val="26"/>
        </w:rPr>
        <w:t xml:space="preserve">Associazione Italiana di Grossisti di Energia e Trader (AIGET) e </w:t>
      </w:r>
      <w:r w:rsidR="000B64DF" w:rsidRPr="0077427C">
        <w:rPr>
          <w:rFonts w:ascii="Times New Roman" w:hAnsi="Times New Roman"/>
          <w:sz w:val="26"/>
          <w:szCs w:val="26"/>
        </w:rPr>
        <w:t xml:space="preserve">del </w:t>
      </w:r>
      <w:r w:rsidRPr="0077427C">
        <w:rPr>
          <w:rFonts w:ascii="Times New Roman" w:hAnsi="Times New Roman"/>
          <w:sz w:val="26"/>
          <w:szCs w:val="26"/>
        </w:rPr>
        <w:t>Kyoto Club (4 aprile 2023), di rappresentanti di Confartigianato e Confederazione nazionale dell’artigianato e della piccola e media impresa (CNA) (19 aprile 2023)</w:t>
      </w:r>
      <w:r w:rsidR="00711667" w:rsidRPr="0077427C">
        <w:rPr>
          <w:rFonts w:ascii="Times New Roman" w:hAnsi="Times New Roman"/>
          <w:sz w:val="26"/>
          <w:szCs w:val="26"/>
        </w:rPr>
        <w:t>,</w:t>
      </w:r>
      <w:r w:rsidRPr="0077427C">
        <w:rPr>
          <w:rFonts w:ascii="Times New Roman" w:hAnsi="Times New Roman"/>
          <w:sz w:val="26"/>
          <w:szCs w:val="26"/>
        </w:rPr>
        <w:t xml:space="preserve"> di rappresentanti d</w:t>
      </w:r>
      <w:r w:rsidR="000B64DF" w:rsidRPr="0077427C">
        <w:rPr>
          <w:rFonts w:ascii="Times New Roman" w:hAnsi="Times New Roman"/>
          <w:sz w:val="26"/>
          <w:szCs w:val="26"/>
        </w:rPr>
        <w:t>ell’</w:t>
      </w:r>
      <w:r w:rsidRPr="0077427C">
        <w:rPr>
          <w:rFonts w:ascii="Times New Roman" w:hAnsi="Times New Roman"/>
          <w:sz w:val="26"/>
          <w:szCs w:val="26"/>
        </w:rPr>
        <w:t xml:space="preserve">Alleanza Cooperative italiane, </w:t>
      </w:r>
      <w:r w:rsidR="000B64DF" w:rsidRPr="0077427C">
        <w:rPr>
          <w:rFonts w:ascii="Times New Roman" w:hAnsi="Times New Roman"/>
          <w:sz w:val="26"/>
          <w:szCs w:val="26"/>
        </w:rPr>
        <w:t>dell’</w:t>
      </w:r>
      <w:r w:rsidRPr="0077427C">
        <w:rPr>
          <w:rFonts w:ascii="Times New Roman" w:hAnsi="Times New Roman"/>
          <w:sz w:val="26"/>
          <w:szCs w:val="26"/>
        </w:rPr>
        <w:t xml:space="preserve">Istituto nazionale urbanistica, </w:t>
      </w:r>
      <w:r w:rsidR="000B64DF" w:rsidRPr="0077427C">
        <w:rPr>
          <w:rFonts w:ascii="Times New Roman" w:hAnsi="Times New Roman"/>
          <w:sz w:val="26"/>
          <w:szCs w:val="26"/>
        </w:rPr>
        <w:t xml:space="preserve">di </w:t>
      </w:r>
      <w:r w:rsidRPr="0077427C">
        <w:rPr>
          <w:rFonts w:ascii="Times New Roman" w:hAnsi="Times New Roman"/>
          <w:sz w:val="26"/>
          <w:szCs w:val="26"/>
        </w:rPr>
        <w:t xml:space="preserve">Iren Smart </w:t>
      </w:r>
      <w:proofErr w:type="spellStart"/>
      <w:r w:rsidRPr="0077427C">
        <w:rPr>
          <w:rFonts w:ascii="Times New Roman" w:hAnsi="Times New Roman"/>
          <w:sz w:val="26"/>
          <w:szCs w:val="26"/>
        </w:rPr>
        <w:t>solution</w:t>
      </w:r>
      <w:proofErr w:type="spellEnd"/>
      <w:r w:rsidRPr="0077427C">
        <w:rPr>
          <w:rFonts w:ascii="Times New Roman" w:hAnsi="Times New Roman"/>
          <w:sz w:val="26"/>
          <w:szCs w:val="26"/>
        </w:rPr>
        <w:t xml:space="preserve"> (27 aprile 2023), di Stefano Corgnati, Vice Rettore per le politiche interne del Politecnico di Torino, </w:t>
      </w:r>
      <w:r w:rsidR="000B64DF" w:rsidRPr="0077427C">
        <w:rPr>
          <w:rFonts w:ascii="Times New Roman" w:hAnsi="Times New Roman"/>
          <w:sz w:val="26"/>
          <w:szCs w:val="26"/>
        </w:rPr>
        <w:t xml:space="preserve">di </w:t>
      </w:r>
      <w:r w:rsidRPr="0077427C">
        <w:rPr>
          <w:rFonts w:ascii="Times New Roman" w:hAnsi="Times New Roman"/>
          <w:sz w:val="26"/>
          <w:szCs w:val="26"/>
        </w:rPr>
        <w:t xml:space="preserve">rappresentanti di Autonomie Locali Italiane (ALI), Zanchini Edoardo, direttore dell’Ufficio Clima del Comune di Roma, </w:t>
      </w:r>
      <w:r w:rsidR="003F1570" w:rsidRPr="0077427C">
        <w:rPr>
          <w:rFonts w:ascii="Times New Roman" w:hAnsi="Times New Roman"/>
          <w:sz w:val="26"/>
          <w:szCs w:val="26"/>
        </w:rPr>
        <w:t xml:space="preserve">di </w:t>
      </w:r>
      <w:r w:rsidRPr="0077427C">
        <w:rPr>
          <w:rFonts w:ascii="Times New Roman" w:hAnsi="Times New Roman"/>
          <w:sz w:val="26"/>
          <w:szCs w:val="26"/>
        </w:rPr>
        <w:t>rappresentanti della Federazione Italiana degli Agenti Immo</w:t>
      </w:r>
      <w:r w:rsidR="003F1570" w:rsidRPr="0077427C">
        <w:rPr>
          <w:rFonts w:ascii="Times New Roman" w:hAnsi="Times New Roman"/>
          <w:sz w:val="26"/>
          <w:szCs w:val="26"/>
        </w:rPr>
        <w:t>biliari Professionali (FIAIP) (</w:t>
      </w:r>
      <w:r w:rsidRPr="0077427C">
        <w:rPr>
          <w:rFonts w:ascii="Times New Roman" w:hAnsi="Times New Roman"/>
          <w:sz w:val="26"/>
          <w:szCs w:val="26"/>
        </w:rPr>
        <w:t xml:space="preserve">2 maggio 2023), di rappresentanti dell’Associazione Italiana per il Riscaldamento Urbano (AIRU), </w:t>
      </w:r>
      <w:r w:rsidR="000B64DF" w:rsidRPr="0077427C">
        <w:rPr>
          <w:rFonts w:ascii="Times New Roman" w:hAnsi="Times New Roman"/>
          <w:sz w:val="26"/>
          <w:szCs w:val="26"/>
        </w:rPr>
        <w:t xml:space="preserve">di </w:t>
      </w:r>
      <w:r w:rsidRPr="0077427C">
        <w:rPr>
          <w:rFonts w:ascii="Times New Roman" w:hAnsi="Times New Roman"/>
          <w:sz w:val="26"/>
          <w:szCs w:val="26"/>
        </w:rPr>
        <w:t xml:space="preserve">Davide </w:t>
      </w:r>
      <w:proofErr w:type="spellStart"/>
      <w:r w:rsidRPr="0077427C">
        <w:rPr>
          <w:rFonts w:ascii="Times New Roman" w:hAnsi="Times New Roman"/>
          <w:sz w:val="26"/>
          <w:szCs w:val="26"/>
        </w:rPr>
        <w:t>Chiaroni</w:t>
      </w:r>
      <w:proofErr w:type="spellEnd"/>
      <w:r w:rsidRPr="0077427C">
        <w:rPr>
          <w:rFonts w:ascii="Times New Roman" w:hAnsi="Times New Roman"/>
          <w:sz w:val="26"/>
          <w:szCs w:val="26"/>
        </w:rPr>
        <w:t xml:space="preserve">, Professore ordinario di Strategia e marketing presso il Politecnico di Milano e Vice direttore di Energy &amp; Strategy, </w:t>
      </w:r>
      <w:r w:rsidR="00711667" w:rsidRPr="0077427C">
        <w:rPr>
          <w:rFonts w:ascii="Times New Roman" w:hAnsi="Times New Roman"/>
          <w:sz w:val="26"/>
          <w:szCs w:val="26"/>
        </w:rPr>
        <w:t xml:space="preserve">di </w:t>
      </w:r>
      <w:r w:rsidRPr="0077427C">
        <w:rPr>
          <w:rFonts w:ascii="Times New Roman" w:hAnsi="Times New Roman"/>
          <w:sz w:val="26"/>
          <w:szCs w:val="26"/>
        </w:rPr>
        <w:t>rappresentanti di ECCO</w:t>
      </w:r>
      <w:r w:rsidR="00DD4058" w:rsidRPr="0077427C">
        <w:rPr>
          <w:rFonts w:ascii="Times New Roman" w:hAnsi="Times New Roman"/>
          <w:sz w:val="26"/>
          <w:szCs w:val="26"/>
        </w:rPr>
        <w:t xml:space="preserve">, </w:t>
      </w:r>
      <w:r w:rsidRPr="0077427C">
        <w:rPr>
          <w:rFonts w:ascii="Times New Roman" w:hAnsi="Times New Roman"/>
          <w:i/>
          <w:sz w:val="26"/>
          <w:szCs w:val="26"/>
        </w:rPr>
        <w:t>think tank</w:t>
      </w:r>
      <w:r w:rsidRPr="0077427C">
        <w:rPr>
          <w:rFonts w:ascii="Times New Roman" w:hAnsi="Times New Roman"/>
          <w:sz w:val="26"/>
          <w:szCs w:val="26"/>
        </w:rPr>
        <w:t xml:space="preserve"> italiano per il clima, di </w:t>
      </w:r>
      <w:proofErr w:type="spellStart"/>
      <w:r w:rsidRPr="0077427C">
        <w:rPr>
          <w:rFonts w:ascii="Times New Roman" w:hAnsi="Times New Roman"/>
          <w:sz w:val="26"/>
          <w:szCs w:val="26"/>
        </w:rPr>
        <w:t>Federbeton</w:t>
      </w:r>
      <w:proofErr w:type="spellEnd"/>
      <w:r w:rsidRPr="0077427C">
        <w:rPr>
          <w:rFonts w:ascii="Times New Roman" w:hAnsi="Times New Roman"/>
          <w:sz w:val="26"/>
          <w:szCs w:val="26"/>
        </w:rPr>
        <w:t xml:space="preserve">, del Sindacato unitario nazionale inquilini e assegnatari (SUNIA), di Legambiente, </w:t>
      </w:r>
      <w:r w:rsidR="003F1570" w:rsidRPr="0077427C">
        <w:rPr>
          <w:rFonts w:ascii="Times New Roman" w:hAnsi="Times New Roman"/>
          <w:sz w:val="26"/>
          <w:szCs w:val="26"/>
        </w:rPr>
        <w:t xml:space="preserve">di </w:t>
      </w:r>
      <w:r w:rsidRPr="0077427C">
        <w:rPr>
          <w:rFonts w:ascii="Times New Roman" w:hAnsi="Times New Roman"/>
          <w:sz w:val="26"/>
          <w:szCs w:val="26"/>
        </w:rPr>
        <w:t>Assoimmobiliare Confindustria (10 maggio 2023), di rappresentanti di Confedilizia, OICE , Rete Professioni Tecniche, FINCO (17 maggio 2023), di rappresentanti del Cresme e di Giovanni Legnini, Commissario delegato dal Capo del Dipartimento della Protezione civile ad Ischia (25 maggio 2023), di rappresentanti d</w:t>
      </w:r>
      <w:r w:rsidR="000B64DF" w:rsidRPr="0077427C">
        <w:rPr>
          <w:rFonts w:ascii="Times New Roman" w:hAnsi="Times New Roman"/>
          <w:sz w:val="26"/>
          <w:szCs w:val="26"/>
        </w:rPr>
        <w:t>ell’</w:t>
      </w:r>
      <w:r w:rsidRPr="0077427C">
        <w:rPr>
          <w:rFonts w:ascii="Times New Roman" w:hAnsi="Times New Roman"/>
          <w:sz w:val="26"/>
          <w:szCs w:val="26"/>
        </w:rPr>
        <w:t xml:space="preserve">Associazione Nazionale Costruttori Edili (ANCE) e  </w:t>
      </w:r>
      <w:r w:rsidR="000B64DF" w:rsidRPr="0077427C">
        <w:rPr>
          <w:rFonts w:ascii="Times New Roman" w:hAnsi="Times New Roman"/>
          <w:sz w:val="26"/>
          <w:szCs w:val="26"/>
        </w:rPr>
        <w:t xml:space="preserve">di </w:t>
      </w:r>
      <w:r w:rsidRPr="0077427C">
        <w:rPr>
          <w:rFonts w:ascii="Times New Roman" w:hAnsi="Times New Roman"/>
          <w:sz w:val="26"/>
          <w:szCs w:val="26"/>
        </w:rPr>
        <w:t xml:space="preserve">Federchimica – </w:t>
      </w:r>
      <w:proofErr w:type="spellStart"/>
      <w:r w:rsidRPr="0077427C">
        <w:rPr>
          <w:rFonts w:ascii="Times New Roman" w:hAnsi="Times New Roman"/>
          <w:sz w:val="26"/>
          <w:szCs w:val="26"/>
        </w:rPr>
        <w:t>Assogasliquidi</w:t>
      </w:r>
      <w:proofErr w:type="spellEnd"/>
      <w:r w:rsidRPr="0077427C">
        <w:rPr>
          <w:rFonts w:ascii="Times New Roman" w:hAnsi="Times New Roman"/>
          <w:sz w:val="26"/>
          <w:szCs w:val="26"/>
        </w:rPr>
        <w:t xml:space="preserve"> (31 maggio 2023), di rappresentanti d</w:t>
      </w:r>
      <w:r w:rsidR="00711667" w:rsidRPr="0077427C">
        <w:rPr>
          <w:rFonts w:ascii="Times New Roman" w:hAnsi="Times New Roman"/>
          <w:sz w:val="26"/>
          <w:szCs w:val="26"/>
        </w:rPr>
        <w:t>el</w:t>
      </w:r>
      <w:r w:rsidRPr="0077427C">
        <w:rPr>
          <w:rFonts w:ascii="Times New Roman" w:hAnsi="Times New Roman"/>
          <w:sz w:val="26"/>
          <w:szCs w:val="26"/>
        </w:rPr>
        <w:t xml:space="preserve"> Consiglio Nazionale delle Ricerche (CNR) e </w:t>
      </w:r>
      <w:r w:rsidR="00711667" w:rsidRPr="0077427C">
        <w:rPr>
          <w:rFonts w:ascii="Times New Roman" w:hAnsi="Times New Roman"/>
          <w:sz w:val="26"/>
          <w:szCs w:val="26"/>
        </w:rPr>
        <w:t xml:space="preserve">del </w:t>
      </w:r>
      <w:r w:rsidRPr="0077427C">
        <w:rPr>
          <w:rFonts w:ascii="Times New Roman" w:hAnsi="Times New Roman"/>
          <w:sz w:val="26"/>
          <w:szCs w:val="26"/>
        </w:rPr>
        <w:t xml:space="preserve">Centro Studi Investimenti Sociali (Censis) (15 giugno 2023), di rappresentanti di ANIMA Confindustria meccanica varia, </w:t>
      </w:r>
      <w:proofErr w:type="spellStart"/>
      <w:r w:rsidRPr="0077427C">
        <w:rPr>
          <w:rFonts w:ascii="Times New Roman" w:hAnsi="Times New Roman"/>
          <w:sz w:val="26"/>
          <w:szCs w:val="26"/>
        </w:rPr>
        <w:t>Assoclima</w:t>
      </w:r>
      <w:proofErr w:type="spellEnd"/>
      <w:r w:rsidRPr="0077427C">
        <w:rPr>
          <w:rFonts w:ascii="Times New Roman" w:hAnsi="Times New Roman"/>
          <w:sz w:val="26"/>
          <w:szCs w:val="26"/>
        </w:rPr>
        <w:t xml:space="preserve"> e </w:t>
      </w:r>
      <w:proofErr w:type="spellStart"/>
      <w:r w:rsidRPr="0077427C">
        <w:rPr>
          <w:rFonts w:ascii="Times New Roman" w:hAnsi="Times New Roman"/>
          <w:sz w:val="26"/>
          <w:szCs w:val="26"/>
        </w:rPr>
        <w:t>Assotermica</w:t>
      </w:r>
      <w:proofErr w:type="spellEnd"/>
      <w:r w:rsidRPr="0077427C">
        <w:rPr>
          <w:rFonts w:ascii="Times New Roman" w:hAnsi="Times New Roman"/>
          <w:sz w:val="26"/>
          <w:szCs w:val="26"/>
        </w:rPr>
        <w:t xml:space="preserve"> (4 luglio 2023), di rappresentanti della Federazione italiana mediatori agenti d’affari – FIMAA (2 agosto 2023), di rappresentanti di ENEA, GSE S.p.A., Nomisma S.p.A., ISPRA (6 settembre 2023)</w:t>
      </w:r>
      <w:r w:rsidR="00711667" w:rsidRPr="0077427C">
        <w:rPr>
          <w:rFonts w:ascii="Times New Roman" w:hAnsi="Times New Roman"/>
          <w:sz w:val="26"/>
          <w:szCs w:val="26"/>
        </w:rPr>
        <w:t>, nonché</w:t>
      </w:r>
      <w:r w:rsidRPr="0077427C">
        <w:rPr>
          <w:rFonts w:ascii="Times New Roman" w:hAnsi="Times New Roman"/>
          <w:sz w:val="26"/>
          <w:szCs w:val="26"/>
        </w:rPr>
        <w:t xml:space="preserve"> di rappresentanti di </w:t>
      </w:r>
      <w:proofErr w:type="spellStart"/>
      <w:r w:rsidRPr="0077427C">
        <w:rPr>
          <w:rFonts w:ascii="Times New Roman" w:hAnsi="Times New Roman"/>
          <w:sz w:val="26"/>
          <w:szCs w:val="26"/>
        </w:rPr>
        <w:t>Isg</w:t>
      </w:r>
      <w:proofErr w:type="spellEnd"/>
      <w:r w:rsidRPr="0077427C">
        <w:rPr>
          <w:rFonts w:ascii="Times New Roman" w:hAnsi="Times New Roman"/>
          <w:sz w:val="26"/>
          <w:szCs w:val="26"/>
        </w:rPr>
        <w:t xml:space="preserve"> Ghilardi (13 settembre 2023) e del Ministro dell’ambiente e della sicurezza energetica, Pichetto Fratin (12 ottobre 2023).</w:t>
      </w:r>
    </w:p>
    <w:p w14:paraId="2E2E58DB" w14:textId="77777777" w:rsidR="00EC341A" w:rsidRPr="0077427C" w:rsidRDefault="00EC341A" w:rsidP="00EC341A">
      <w:pPr>
        <w:spacing w:line="240" w:lineRule="auto"/>
        <w:rPr>
          <w:rFonts w:ascii="Times New Roman" w:hAnsi="Times New Roman"/>
          <w:sz w:val="26"/>
          <w:szCs w:val="26"/>
        </w:rPr>
      </w:pPr>
      <w:r w:rsidRPr="0077427C">
        <w:rPr>
          <w:rFonts w:ascii="Times New Roman" w:hAnsi="Times New Roman"/>
          <w:sz w:val="26"/>
          <w:szCs w:val="26"/>
        </w:rPr>
        <w:t>Nei successivi paragrafi del documento è riportata una breve disamina dell’evoluzione che ha caratterizzato il quadro normativo degli incentivi in materia edilizia e delle misure concernenti l’efficienza energetica degli edifi</w:t>
      </w:r>
      <w:r w:rsidR="003F1570" w:rsidRPr="0077427C">
        <w:rPr>
          <w:rFonts w:ascii="Times New Roman" w:hAnsi="Times New Roman"/>
          <w:sz w:val="26"/>
          <w:szCs w:val="26"/>
        </w:rPr>
        <w:t>c</w:t>
      </w:r>
      <w:r w:rsidRPr="0077427C">
        <w:rPr>
          <w:rFonts w:ascii="Times New Roman" w:hAnsi="Times New Roman"/>
          <w:sz w:val="26"/>
          <w:szCs w:val="26"/>
        </w:rPr>
        <w:t xml:space="preserve">i, </w:t>
      </w:r>
      <w:r w:rsidR="00D5733A" w:rsidRPr="0077427C">
        <w:rPr>
          <w:rFonts w:ascii="Times New Roman" w:hAnsi="Times New Roman"/>
          <w:sz w:val="26"/>
          <w:szCs w:val="26"/>
        </w:rPr>
        <w:t xml:space="preserve">nonché </w:t>
      </w:r>
      <w:r w:rsidRPr="0077427C">
        <w:rPr>
          <w:rFonts w:ascii="Times New Roman" w:hAnsi="Times New Roman"/>
          <w:sz w:val="26"/>
          <w:szCs w:val="26"/>
        </w:rPr>
        <w:t xml:space="preserve">un’analisi </w:t>
      </w:r>
      <w:r w:rsidR="00D5733A" w:rsidRPr="0077427C">
        <w:rPr>
          <w:rFonts w:ascii="Times New Roman" w:hAnsi="Times New Roman"/>
          <w:sz w:val="26"/>
          <w:szCs w:val="26"/>
        </w:rPr>
        <w:t xml:space="preserve">della situazione nazionale </w:t>
      </w:r>
      <w:r w:rsidRPr="0077427C">
        <w:rPr>
          <w:rFonts w:ascii="Times New Roman" w:hAnsi="Times New Roman"/>
          <w:sz w:val="26"/>
          <w:szCs w:val="26"/>
        </w:rPr>
        <w:t>delle emissioni</w:t>
      </w:r>
      <w:r w:rsidR="00D5733A" w:rsidRPr="0077427C">
        <w:rPr>
          <w:rFonts w:ascii="Times New Roman" w:hAnsi="Times New Roman"/>
          <w:sz w:val="26"/>
          <w:szCs w:val="26"/>
        </w:rPr>
        <w:t xml:space="preserve"> di gas serra</w:t>
      </w:r>
      <w:r w:rsidRPr="0077427C">
        <w:rPr>
          <w:rFonts w:ascii="Times New Roman" w:hAnsi="Times New Roman"/>
          <w:sz w:val="26"/>
          <w:szCs w:val="26"/>
        </w:rPr>
        <w:t xml:space="preserve"> </w:t>
      </w:r>
      <w:r w:rsidR="00D5733A" w:rsidRPr="0077427C">
        <w:rPr>
          <w:rFonts w:ascii="Times New Roman" w:hAnsi="Times New Roman"/>
          <w:sz w:val="26"/>
          <w:szCs w:val="26"/>
        </w:rPr>
        <w:t xml:space="preserve">e dei relativi target di riduzione. </w:t>
      </w:r>
    </w:p>
    <w:p w14:paraId="431389EC" w14:textId="77777777" w:rsidR="00EC341A" w:rsidRPr="0077427C" w:rsidRDefault="00EC341A" w:rsidP="00EC341A">
      <w:pPr>
        <w:spacing w:line="240" w:lineRule="auto"/>
        <w:rPr>
          <w:rFonts w:ascii="Times New Roman" w:hAnsi="Times New Roman"/>
          <w:sz w:val="26"/>
          <w:szCs w:val="26"/>
        </w:rPr>
      </w:pPr>
      <w:r w:rsidRPr="0077427C">
        <w:rPr>
          <w:rFonts w:ascii="Times New Roman" w:hAnsi="Times New Roman"/>
          <w:sz w:val="26"/>
          <w:szCs w:val="26"/>
        </w:rPr>
        <w:t>Nel documento si dà inoltre conto degli elementi raccolti nell’ambito delle audizioni svolte tra il 28 marzo 2023 e il 12 ottobre 2023</w:t>
      </w:r>
      <w:r w:rsidR="008C6580" w:rsidRPr="0077427C">
        <w:rPr>
          <w:rFonts w:ascii="Times New Roman" w:hAnsi="Times New Roman"/>
          <w:sz w:val="26"/>
          <w:szCs w:val="26"/>
        </w:rPr>
        <w:t xml:space="preserve"> e dei documenti trasmessi dai soggetti che non sono interven</w:t>
      </w:r>
      <w:r w:rsidR="00D14353" w:rsidRPr="0077427C">
        <w:rPr>
          <w:rFonts w:ascii="Times New Roman" w:hAnsi="Times New Roman"/>
          <w:sz w:val="26"/>
          <w:szCs w:val="26"/>
        </w:rPr>
        <w:t>uti</w:t>
      </w:r>
      <w:r w:rsidR="008C6580" w:rsidRPr="0077427C">
        <w:rPr>
          <w:rFonts w:ascii="Times New Roman" w:hAnsi="Times New Roman"/>
          <w:sz w:val="26"/>
          <w:szCs w:val="26"/>
        </w:rPr>
        <w:t xml:space="preserve"> in audizione</w:t>
      </w:r>
      <w:r w:rsidRPr="0077427C">
        <w:rPr>
          <w:rFonts w:ascii="Times New Roman" w:hAnsi="Times New Roman"/>
          <w:sz w:val="26"/>
          <w:szCs w:val="26"/>
        </w:rPr>
        <w:t xml:space="preserve">. </w:t>
      </w:r>
    </w:p>
    <w:p w14:paraId="71778322" w14:textId="08ED07BB" w:rsidR="009A4070" w:rsidRPr="0077427C" w:rsidRDefault="00EC341A" w:rsidP="00102E5B">
      <w:pPr>
        <w:spacing w:line="240" w:lineRule="auto"/>
        <w:rPr>
          <w:rFonts w:ascii="Times New Roman" w:hAnsi="Times New Roman"/>
          <w:sz w:val="26"/>
          <w:szCs w:val="26"/>
        </w:rPr>
      </w:pPr>
      <w:r w:rsidRPr="0077427C">
        <w:rPr>
          <w:rFonts w:ascii="Times New Roman" w:hAnsi="Times New Roman"/>
          <w:sz w:val="26"/>
          <w:szCs w:val="26"/>
        </w:rPr>
        <w:t xml:space="preserve">Gli elementi raccolti nel corso dell’indagine consentono di svolgere alcune considerazioni conclusive alla luce degli obiettivi europei e del dibattito in corso. </w:t>
      </w:r>
    </w:p>
    <w:p w14:paraId="084E38B9" w14:textId="77777777" w:rsidR="009A4070" w:rsidRPr="0077427C" w:rsidRDefault="009A4070">
      <w:pPr>
        <w:spacing w:after="160" w:line="259" w:lineRule="auto"/>
        <w:ind w:firstLine="0"/>
        <w:jc w:val="left"/>
        <w:rPr>
          <w:rFonts w:ascii="Times New Roman" w:hAnsi="Times New Roman"/>
          <w:sz w:val="26"/>
          <w:szCs w:val="26"/>
        </w:rPr>
      </w:pPr>
      <w:r w:rsidRPr="0077427C">
        <w:rPr>
          <w:rFonts w:ascii="Times New Roman" w:hAnsi="Times New Roman"/>
          <w:sz w:val="26"/>
          <w:szCs w:val="26"/>
        </w:rPr>
        <w:br w:type="page"/>
      </w:r>
    </w:p>
    <w:p w14:paraId="300C463F" w14:textId="489D446B" w:rsidR="00317B5A" w:rsidRPr="0077427C" w:rsidRDefault="00317B5A" w:rsidP="00102E5B">
      <w:pPr>
        <w:pStyle w:val="Titolo1"/>
        <w:jc w:val="both"/>
      </w:pPr>
      <w:bookmarkStart w:id="3" w:name="_Toc190697360"/>
      <w:r w:rsidRPr="0077427C">
        <w:t>2. IL QUADRO NORMATIVO</w:t>
      </w:r>
      <w:bookmarkEnd w:id="3"/>
      <w:r w:rsidRPr="0077427C">
        <w:t xml:space="preserve"> </w:t>
      </w:r>
    </w:p>
    <w:p w14:paraId="61EFA8B0" w14:textId="0DC311ED" w:rsidR="00317B5A" w:rsidRPr="0077427C" w:rsidRDefault="00317B5A" w:rsidP="00254008">
      <w:pPr>
        <w:pStyle w:val="Titolo2"/>
      </w:pPr>
      <w:bookmarkStart w:id="4" w:name="_Toc190697361"/>
      <w:r w:rsidRPr="0077427C">
        <w:t>2.1</w:t>
      </w:r>
      <w:r w:rsidRPr="0077427C">
        <w:tab/>
        <w:t>Gli incentivi fiscali in materia edilizia</w:t>
      </w:r>
      <w:bookmarkEnd w:id="4"/>
    </w:p>
    <w:p w14:paraId="56067CBA" w14:textId="77777777" w:rsidR="00765035" w:rsidRPr="0077427C" w:rsidRDefault="00765035" w:rsidP="00765035">
      <w:pPr>
        <w:rPr>
          <w:rFonts w:ascii="Times New Roman" w:hAnsi="Times New Roman"/>
          <w:sz w:val="26"/>
          <w:szCs w:val="26"/>
        </w:rPr>
      </w:pPr>
      <w:r w:rsidRPr="0077427C">
        <w:rPr>
          <w:rFonts w:ascii="Times New Roman" w:hAnsi="Times New Roman"/>
          <w:sz w:val="26"/>
          <w:szCs w:val="26"/>
        </w:rPr>
        <w:t>Nel corso degli anni sono state introdotte numerose agevolazioni fiscali volte a realizzare obiettivi di riqualificazione energetica e di recupero edilizio del patrimonio immobiliare. Tali misure consistono in una serie di detrazioni d’imposta delle spese sostenute per raggiungere l’obiettivo dell’intervento e la loro applicabilità è stata oggetto di numerose proroghe nel corso degli anni</w:t>
      </w:r>
      <w:r w:rsidRPr="0077427C">
        <w:rPr>
          <w:rFonts w:ascii="Times New Roman" w:hAnsi="Times New Roman"/>
          <w:b/>
          <w:sz w:val="26"/>
          <w:szCs w:val="26"/>
        </w:rPr>
        <w:t xml:space="preserve"> </w:t>
      </w:r>
      <w:r w:rsidRPr="0077427C">
        <w:rPr>
          <w:rFonts w:ascii="Times New Roman" w:hAnsi="Times New Roman"/>
          <w:sz w:val="26"/>
          <w:szCs w:val="26"/>
        </w:rPr>
        <w:t>e</w:t>
      </w:r>
      <w:r w:rsidRPr="0077427C">
        <w:rPr>
          <w:rFonts w:ascii="Times New Roman" w:hAnsi="Times New Roman"/>
          <w:b/>
          <w:sz w:val="26"/>
          <w:szCs w:val="26"/>
        </w:rPr>
        <w:t xml:space="preserve"> </w:t>
      </w:r>
      <w:r w:rsidRPr="0077427C">
        <w:rPr>
          <w:rFonts w:ascii="Times New Roman" w:hAnsi="Times New Roman"/>
          <w:sz w:val="26"/>
          <w:szCs w:val="26"/>
        </w:rPr>
        <w:t>di modifiche che hanno inciso sulle aliquote delle detrazioni, sui limiti massimi di spesa, sulle categorie di interventi agevolabili nonché sui soggetti beneficiari.</w:t>
      </w:r>
    </w:p>
    <w:p w14:paraId="51EBBD2B" w14:textId="77777777" w:rsidR="00765035" w:rsidRPr="0077427C" w:rsidRDefault="00765035" w:rsidP="00765035">
      <w:pPr>
        <w:rPr>
          <w:rFonts w:ascii="Times New Roman" w:hAnsi="Times New Roman"/>
          <w:sz w:val="26"/>
          <w:szCs w:val="26"/>
        </w:rPr>
      </w:pPr>
      <w:r w:rsidRPr="0077427C">
        <w:rPr>
          <w:rFonts w:ascii="Times New Roman" w:hAnsi="Times New Roman"/>
          <w:sz w:val="26"/>
          <w:szCs w:val="26"/>
        </w:rPr>
        <w:t>Agevolazioni fiscali per interventi di recupero del patrimonio edilizio sono state introdotte già a partire dal 1997 attraverso l’articolo 1 della legge 27 dicembre 1997, n. 449 (Misure per la stabilizzazione della finanza pubblica), che ha previsto la possibilità di detrarre un importo pari al 41 per cento delle spese sostenute (percentuale che negli anni è stata modificata) per la ristrutturazione edilizia, fino ad un importo massimo determinato (anch’esso modificatosi nel tempo).</w:t>
      </w:r>
    </w:p>
    <w:p w14:paraId="5BC4ED0A" w14:textId="77777777" w:rsidR="00765035" w:rsidRPr="0077427C" w:rsidRDefault="00765035" w:rsidP="00765035">
      <w:pPr>
        <w:rPr>
          <w:rFonts w:ascii="Times New Roman" w:hAnsi="Times New Roman"/>
          <w:sz w:val="26"/>
          <w:szCs w:val="26"/>
        </w:rPr>
      </w:pPr>
      <w:r w:rsidRPr="0077427C">
        <w:rPr>
          <w:rFonts w:ascii="Times New Roman" w:hAnsi="Times New Roman"/>
          <w:sz w:val="26"/>
          <w:szCs w:val="26"/>
        </w:rPr>
        <w:t>A partire dal 2007 sono state previste detrazioni fiscali per interventi di efficienza energetica (legge n. 296 del 2006, articolo 1, commi da 344 a 349).</w:t>
      </w:r>
    </w:p>
    <w:p w14:paraId="2CC69158" w14:textId="77777777" w:rsidR="00765035" w:rsidRPr="0077427C" w:rsidRDefault="00765035" w:rsidP="00765035">
      <w:pPr>
        <w:rPr>
          <w:rFonts w:ascii="Times New Roman" w:hAnsi="Times New Roman"/>
          <w:sz w:val="26"/>
          <w:szCs w:val="26"/>
        </w:rPr>
      </w:pPr>
      <w:r w:rsidRPr="0077427C">
        <w:rPr>
          <w:rFonts w:ascii="Times New Roman" w:hAnsi="Times New Roman"/>
          <w:sz w:val="26"/>
          <w:szCs w:val="26"/>
        </w:rPr>
        <w:t xml:space="preserve">Più di recente è stata introdotta un’ulteriore detrazione, il cosiddetto </w:t>
      </w:r>
      <w:r w:rsidRPr="0077427C">
        <w:rPr>
          <w:rFonts w:ascii="Times New Roman" w:hAnsi="Times New Roman"/>
          <w:i/>
          <w:sz w:val="26"/>
          <w:szCs w:val="26"/>
        </w:rPr>
        <w:t>superbonus</w:t>
      </w:r>
      <w:r w:rsidRPr="0077427C">
        <w:rPr>
          <w:rFonts w:ascii="Times New Roman" w:hAnsi="Times New Roman"/>
          <w:sz w:val="26"/>
          <w:szCs w:val="26"/>
        </w:rPr>
        <w:t xml:space="preserve">, che consiste in una detrazione, pari al 110 per cento fino al 2022 e ad un’aliquota inferiore negli anni successivi, delle spese relative a specifici interventi antisismici e di efficienza energetica sugli edifici (articolo 119 del </w:t>
      </w:r>
      <w:proofErr w:type="gramStart"/>
      <w:r w:rsidRPr="0077427C">
        <w:rPr>
          <w:rFonts w:ascii="Times New Roman" w:hAnsi="Times New Roman"/>
          <w:sz w:val="26"/>
          <w:szCs w:val="26"/>
        </w:rPr>
        <w:t>decreto legge</w:t>
      </w:r>
      <w:proofErr w:type="gramEnd"/>
      <w:r w:rsidRPr="0077427C">
        <w:rPr>
          <w:rFonts w:ascii="Times New Roman" w:hAnsi="Times New Roman"/>
          <w:sz w:val="26"/>
          <w:szCs w:val="26"/>
        </w:rPr>
        <w:t xml:space="preserve"> n. 34 del 2020).</w:t>
      </w:r>
    </w:p>
    <w:p w14:paraId="58C2A858" w14:textId="77777777" w:rsidR="00765035" w:rsidRPr="0077427C" w:rsidRDefault="00765035" w:rsidP="00765035">
      <w:pPr>
        <w:rPr>
          <w:rFonts w:ascii="Times New Roman" w:hAnsi="Times New Roman"/>
          <w:sz w:val="26"/>
          <w:szCs w:val="26"/>
        </w:rPr>
      </w:pPr>
      <w:r w:rsidRPr="0077427C">
        <w:rPr>
          <w:rFonts w:ascii="Times New Roman" w:hAnsi="Times New Roman"/>
          <w:sz w:val="26"/>
          <w:szCs w:val="26"/>
        </w:rPr>
        <w:t xml:space="preserve">Si ricorda, infine, che la legge di delega fiscale (legge n. 111 del 2023) contiene uno specifico principio di delega riferito alla riforma dell’imposta sui redditi sulle persone fisiche (art. 5, comma 1, lettera </w:t>
      </w:r>
      <w:r w:rsidRPr="0077427C">
        <w:rPr>
          <w:rFonts w:ascii="Times New Roman" w:hAnsi="Times New Roman"/>
          <w:i/>
          <w:sz w:val="26"/>
          <w:szCs w:val="26"/>
        </w:rPr>
        <w:t>a</w:t>
      </w:r>
      <w:r w:rsidRPr="0077427C">
        <w:rPr>
          <w:rFonts w:ascii="Times New Roman" w:hAnsi="Times New Roman"/>
          <w:sz w:val="26"/>
          <w:szCs w:val="26"/>
        </w:rPr>
        <w:t>), n. 1), punto 1.3) che fa riferimento, tra l’altro, al riordino delle detrazioni dall’imposta lorda e dei crediti d’imposta, tenendo conto delle loro finalità, con particolare riguardo anche agli obiettivi del miglioramento dell'efficienza energetica, della riduzione del rischio sismico del patrimonio edilizio esistente, nonché della rigenerazione urbana e della rifunzionalizzazione edilizia.</w:t>
      </w:r>
    </w:p>
    <w:p w14:paraId="3EC12DD5" w14:textId="77777777" w:rsidR="00765035" w:rsidRPr="0077427C" w:rsidRDefault="00765035" w:rsidP="00765035">
      <w:pPr>
        <w:rPr>
          <w:rFonts w:ascii="Times New Roman" w:hAnsi="Times New Roman"/>
          <w:sz w:val="26"/>
          <w:szCs w:val="26"/>
        </w:rPr>
      </w:pPr>
      <w:r w:rsidRPr="0077427C">
        <w:rPr>
          <w:rFonts w:ascii="Times New Roman" w:hAnsi="Times New Roman"/>
          <w:sz w:val="26"/>
          <w:szCs w:val="26"/>
        </w:rPr>
        <w:t>Da ultimo, la legge di bilancio 2025 (</w:t>
      </w:r>
      <w:hyperlink r:id="rId8" w:history="1">
        <w:r w:rsidRPr="0077427C">
          <w:rPr>
            <w:rStyle w:val="Collegamentoipertestuale"/>
            <w:rFonts w:ascii="Times New Roman" w:eastAsiaTheme="majorEastAsia" w:hAnsi="Times New Roman"/>
            <w:color w:val="auto"/>
            <w:sz w:val="26"/>
            <w:szCs w:val="26"/>
            <w:u w:val="none"/>
          </w:rPr>
          <w:t>legge 30 dicembre 2024, n. 207</w:t>
        </w:r>
      </w:hyperlink>
      <w:r w:rsidRPr="0077427C">
        <w:rPr>
          <w:rFonts w:ascii="Times New Roman" w:hAnsi="Times New Roman"/>
          <w:sz w:val="26"/>
          <w:szCs w:val="26"/>
        </w:rPr>
        <w:t>) ha modificato la disciplina di alcune agevolazioni fiscali previste in materia di riqualificazione edilizia, di efficientamento energetico e di interventi antisismici, al fine di rimodulare i termini di fruizione e le aliquote di detrazione nonché prevedere un regime più vantaggioso per le unità immobiliari adibite ad abitazione principale.</w:t>
      </w:r>
    </w:p>
    <w:p w14:paraId="14081382" w14:textId="77777777" w:rsidR="00765035" w:rsidRPr="0077427C" w:rsidRDefault="00765035" w:rsidP="00765035">
      <w:pPr>
        <w:rPr>
          <w:rFonts w:ascii="Times New Roman" w:hAnsi="Times New Roman"/>
          <w:sz w:val="26"/>
          <w:szCs w:val="26"/>
        </w:rPr>
      </w:pPr>
      <w:r w:rsidRPr="0077427C">
        <w:rPr>
          <w:rFonts w:ascii="Times New Roman" w:hAnsi="Times New Roman"/>
          <w:sz w:val="26"/>
          <w:szCs w:val="26"/>
        </w:rPr>
        <w:t xml:space="preserve">Nelle seguenti tabelle si riportano sinteticamente i principali interventi agevolabili e le aliquote di detrazione per le varie tipologie di </w:t>
      </w:r>
      <w:r w:rsidRPr="0077427C">
        <w:rPr>
          <w:rFonts w:ascii="Times New Roman" w:hAnsi="Times New Roman"/>
          <w:i/>
          <w:sz w:val="26"/>
          <w:szCs w:val="26"/>
        </w:rPr>
        <w:t>bonus</w:t>
      </w:r>
      <w:r w:rsidRPr="0077427C">
        <w:rPr>
          <w:rFonts w:ascii="Times New Roman" w:hAnsi="Times New Roman"/>
          <w:sz w:val="26"/>
          <w:szCs w:val="26"/>
        </w:rPr>
        <w:t xml:space="preserve">. </w:t>
      </w:r>
    </w:p>
    <w:p w14:paraId="14E10E83" w14:textId="77777777" w:rsidR="00765035" w:rsidRPr="0077427C" w:rsidRDefault="00765035" w:rsidP="00765035">
      <w:pPr>
        <w:rPr>
          <w:rFonts w:ascii="Times New Roman" w:hAnsi="Times New Roman"/>
          <w:b/>
          <w:i/>
          <w:sz w:val="26"/>
          <w:szCs w:val="26"/>
        </w:rPr>
      </w:pPr>
    </w:p>
    <w:tbl>
      <w:tblPr>
        <w:tblStyle w:val="Grigliatabell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EF3550" w:rsidRPr="0077427C" w14:paraId="2E4534A7" w14:textId="77777777" w:rsidTr="00D63209">
        <w:tc>
          <w:tcPr>
            <w:tcW w:w="9778" w:type="dxa"/>
          </w:tcPr>
          <w:p w14:paraId="18F6787B" w14:textId="77777777" w:rsidR="00765035" w:rsidRPr="0077427C" w:rsidRDefault="00765035" w:rsidP="00D63209">
            <w:pPr>
              <w:jc w:val="center"/>
              <w:rPr>
                <w:rFonts w:ascii="Times New Roman" w:hAnsi="Times New Roman"/>
                <w:b/>
                <w:sz w:val="26"/>
                <w:szCs w:val="26"/>
              </w:rPr>
            </w:pPr>
            <w:r w:rsidRPr="0077427C">
              <w:rPr>
                <w:rFonts w:ascii="Times New Roman" w:hAnsi="Times New Roman"/>
                <w:b/>
                <w:sz w:val="26"/>
                <w:szCs w:val="26"/>
              </w:rPr>
              <w:t xml:space="preserve">ECOBONUS </w:t>
            </w:r>
          </w:p>
          <w:p w14:paraId="4278C5B3" w14:textId="77777777" w:rsidR="00765035" w:rsidRPr="0077427C" w:rsidRDefault="00765035" w:rsidP="00D63209">
            <w:pPr>
              <w:rPr>
                <w:rFonts w:ascii="Times New Roman" w:hAnsi="Times New Roman"/>
                <w:b/>
                <w:i/>
                <w:sz w:val="26"/>
                <w:szCs w:val="26"/>
              </w:rPr>
            </w:pPr>
            <w:r w:rsidRPr="0077427C">
              <w:rPr>
                <w:rFonts w:ascii="Times New Roman" w:hAnsi="Times New Roman"/>
                <w:b/>
                <w:sz w:val="26"/>
                <w:szCs w:val="26"/>
              </w:rPr>
              <w:t xml:space="preserve">(articolo 1, commi 344-345, della legge n. 296 del 2006 e articolo 14 del </w:t>
            </w:r>
            <w:proofErr w:type="gramStart"/>
            <w:r w:rsidRPr="0077427C">
              <w:rPr>
                <w:rFonts w:ascii="Times New Roman" w:hAnsi="Times New Roman"/>
                <w:b/>
                <w:sz w:val="26"/>
                <w:szCs w:val="26"/>
              </w:rPr>
              <w:t>decreto legge</w:t>
            </w:r>
            <w:proofErr w:type="gramEnd"/>
            <w:r w:rsidRPr="0077427C">
              <w:rPr>
                <w:rFonts w:ascii="Times New Roman" w:hAnsi="Times New Roman"/>
                <w:b/>
                <w:sz w:val="26"/>
                <w:szCs w:val="26"/>
              </w:rPr>
              <w:t xml:space="preserve"> n. 63 del 2013)</w:t>
            </w:r>
          </w:p>
        </w:tc>
      </w:tr>
      <w:tr w:rsidR="00EF3550" w:rsidRPr="0077427C" w14:paraId="5C381FED" w14:textId="77777777" w:rsidTr="00D63209">
        <w:tc>
          <w:tcPr>
            <w:tcW w:w="9778" w:type="dxa"/>
          </w:tcPr>
          <w:p w14:paraId="3001AF3B" w14:textId="77777777" w:rsidR="00765035" w:rsidRPr="0077427C" w:rsidRDefault="00765035" w:rsidP="00D63209">
            <w:pPr>
              <w:rPr>
                <w:rFonts w:ascii="Times New Roman" w:hAnsi="Times New Roman"/>
                <w:sz w:val="26"/>
                <w:szCs w:val="26"/>
              </w:rPr>
            </w:pPr>
            <w:r w:rsidRPr="0077427C">
              <w:rPr>
                <w:rFonts w:ascii="Times New Roman" w:hAnsi="Times New Roman"/>
                <w:sz w:val="26"/>
                <w:szCs w:val="26"/>
              </w:rPr>
              <w:t xml:space="preserve">Per le spese sostenute entro il </w:t>
            </w:r>
            <w:r w:rsidRPr="0077427C">
              <w:rPr>
                <w:rFonts w:ascii="Times New Roman" w:hAnsi="Times New Roman"/>
                <w:bCs/>
                <w:sz w:val="26"/>
                <w:szCs w:val="26"/>
              </w:rPr>
              <w:t>31 dicembre 2024 era prevista una d</w:t>
            </w:r>
            <w:r w:rsidRPr="0077427C">
              <w:rPr>
                <w:rFonts w:ascii="Times New Roman" w:hAnsi="Times New Roman"/>
                <w:sz w:val="26"/>
                <w:szCs w:val="26"/>
              </w:rPr>
              <w:t xml:space="preserve">etrazione dall’IRPEF o dall’IRES, da ripartire in dieci rate annuali di pari importo, la cui entità variava a seconda della tipologia di immobile interessato dall’intervento e dell’anno di realizzazione dell’intervento stesso. Per la maggior parte degli interventi la detrazione era pari al 65 per cento, mentre per altri spettava nella misura del 50 per cento. </w:t>
            </w:r>
          </w:p>
          <w:p w14:paraId="4BAC25A0" w14:textId="77777777" w:rsidR="00765035" w:rsidRPr="0077427C" w:rsidRDefault="00765035" w:rsidP="00D63209">
            <w:pPr>
              <w:rPr>
                <w:rFonts w:ascii="Times New Roman" w:hAnsi="Times New Roman"/>
                <w:bCs/>
                <w:sz w:val="26"/>
                <w:szCs w:val="26"/>
              </w:rPr>
            </w:pPr>
            <w:r w:rsidRPr="0077427C">
              <w:rPr>
                <w:rFonts w:ascii="Times New Roman" w:hAnsi="Times New Roman"/>
                <w:bCs/>
                <w:sz w:val="26"/>
                <w:szCs w:val="26"/>
              </w:rPr>
              <w:t>L’articolo 1, comma 55, della legge di bilancio 2025 ha rimodulato la percentuale di detrazione prevista</w:t>
            </w:r>
            <w:r w:rsidRPr="0077427C">
              <w:rPr>
                <w:rFonts w:ascii="Times New Roman" w:hAnsi="Times New Roman"/>
                <w:sz w:val="26"/>
              </w:rPr>
              <w:t xml:space="preserve"> per le spese </w:t>
            </w:r>
            <w:r w:rsidRPr="0077427C">
              <w:rPr>
                <w:rFonts w:ascii="Times New Roman" w:hAnsi="Times New Roman"/>
                <w:bCs/>
                <w:sz w:val="26"/>
                <w:szCs w:val="26"/>
              </w:rPr>
              <w:t>sostenute negli anni 2025, 2026 e 2027, in misura fissa per tutte le tipologie di interventi agevolati pari al:</w:t>
            </w:r>
          </w:p>
          <w:p w14:paraId="262C57FF" w14:textId="77777777" w:rsidR="00765035" w:rsidRPr="0077427C" w:rsidRDefault="00765035" w:rsidP="00765035">
            <w:pPr>
              <w:pStyle w:val="Paragrafoelenco"/>
              <w:numPr>
                <w:ilvl w:val="0"/>
                <w:numId w:val="19"/>
              </w:numPr>
              <w:rPr>
                <w:rFonts w:ascii="Times New Roman" w:hAnsi="Times New Roman"/>
                <w:bCs/>
                <w:sz w:val="26"/>
                <w:szCs w:val="26"/>
              </w:rPr>
            </w:pPr>
            <w:r w:rsidRPr="0077427C">
              <w:rPr>
                <w:rFonts w:ascii="Times New Roman" w:hAnsi="Times New Roman"/>
                <w:bCs/>
                <w:sz w:val="26"/>
                <w:szCs w:val="26"/>
              </w:rPr>
              <w:t xml:space="preserve">36 per cento delle spese sostenute nell’anno 2025 (50 per cento per le abitazioni principali); </w:t>
            </w:r>
          </w:p>
          <w:p w14:paraId="0E38A88F" w14:textId="77777777" w:rsidR="00765035" w:rsidRPr="0077427C" w:rsidRDefault="00765035" w:rsidP="00765035">
            <w:pPr>
              <w:pStyle w:val="Paragrafoelenco"/>
              <w:numPr>
                <w:ilvl w:val="0"/>
                <w:numId w:val="19"/>
              </w:numPr>
              <w:rPr>
                <w:rFonts w:ascii="Times New Roman" w:hAnsi="Times New Roman"/>
                <w:bCs/>
                <w:sz w:val="26"/>
                <w:szCs w:val="26"/>
              </w:rPr>
            </w:pPr>
            <w:r w:rsidRPr="0077427C">
              <w:rPr>
                <w:rFonts w:ascii="Times New Roman" w:hAnsi="Times New Roman"/>
                <w:bCs/>
                <w:sz w:val="26"/>
                <w:szCs w:val="26"/>
              </w:rPr>
              <w:t xml:space="preserve">30 per cento delle spese sostenute negli anni 2026 e 2027 (36 per cento per le abitazioni principali). </w:t>
            </w:r>
          </w:p>
          <w:p w14:paraId="2EA71E0A" w14:textId="77777777" w:rsidR="00765035" w:rsidRPr="0077427C" w:rsidRDefault="00765035" w:rsidP="00D63209">
            <w:pPr>
              <w:ind w:firstLine="0"/>
              <w:rPr>
                <w:rFonts w:ascii="Times New Roman" w:hAnsi="Times New Roman"/>
                <w:bCs/>
                <w:sz w:val="26"/>
                <w:szCs w:val="26"/>
              </w:rPr>
            </w:pPr>
            <w:r w:rsidRPr="0077427C">
              <w:rPr>
                <w:rFonts w:ascii="Times New Roman" w:hAnsi="Times New Roman"/>
                <w:bCs/>
                <w:sz w:val="26"/>
                <w:szCs w:val="26"/>
              </w:rPr>
              <w:t>Con la medesima disposizione sono esclusi dall’agevolazione gli interventi di sostituzione degli impianti di climatizzazione invernale con caldaie uniche alimentate a combustibili fossili.</w:t>
            </w:r>
          </w:p>
        </w:tc>
      </w:tr>
      <w:tr w:rsidR="00EF3550" w:rsidRPr="0077427C" w14:paraId="235593E9" w14:textId="77777777" w:rsidTr="00D63209">
        <w:tc>
          <w:tcPr>
            <w:tcW w:w="9778" w:type="dxa"/>
          </w:tcPr>
          <w:p w14:paraId="702DAD13" w14:textId="77777777" w:rsidR="00765035" w:rsidRPr="0077427C" w:rsidRDefault="00765035" w:rsidP="00D63209">
            <w:pPr>
              <w:jc w:val="center"/>
              <w:rPr>
                <w:rFonts w:ascii="Times New Roman" w:hAnsi="Times New Roman"/>
                <w:b/>
                <w:i/>
                <w:sz w:val="26"/>
                <w:szCs w:val="26"/>
              </w:rPr>
            </w:pPr>
            <w:r w:rsidRPr="0077427C">
              <w:rPr>
                <w:rFonts w:ascii="Times New Roman" w:hAnsi="Times New Roman"/>
                <w:b/>
                <w:i/>
                <w:sz w:val="26"/>
                <w:szCs w:val="26"/>
              </w:rPr>
              <w:t>Interventi agevolabili</w:t>
            </w:r>
          </w:p>
        </w:tc>
      </w:tr>
      <w:tr w:rsidR="00EF3550" w:rsidRPr="0077427C" w14:paraId="28E7A123" w14:textId="77777777" w:rsidTr="00D63209">
        <w:tc>
          <w:tcPr>
            <w:tcW w:w="9778" w:type="dxa"/>
          </w:tcPr>
          <w:p w14:paraId="25181B9A" w14:textId="77777777" w:rsidR="00765035" w:rsidRPr="0077427C" w:rsidRDefault="00765035" w:rsidP="00D63209">
            <w:pPr>
              <w:rPr>
                <w:rFonts w:ascii="Times New Roman" w:hAnsi="Times New Roman"/>
                <w:sz w:val="26"/>
                <w:szCs w:val="26"/>
              </w:rPr>
            </w:pPr>
            <w:r w:rsidRPr="0077427C">
              <w:rPr>
                <w:rFonts w:ascii="Times New Roman" w:hAnsi="Times New Roman"/>
                <w:sz w:val="26"/>
                <w:szCs w:val="26"/>
              </w:rPr>
              <w:t>Acquisto e posa in opera delle schermature solari.</w:t>
            </w:r>
          </w:p>
        </w:tc>
      </w:tr>
      <w:tr w:rsidR="00EF3550" w:rsidRPr="0077427C" w14:paraId="5DA08A09" w14:textId="77777777" w:rsidTr="00D63209">
        <w:tc>
          <w:tcPr>
            <w:tcW w:w="9778" w:type="dxa"/>
          </w:tcPr>
          <w:p w14:paraId="591D8C69" w14:textId="77777777" w:rsidR="00765035" w:rsidRPr="0077427C" w:rsidRDefault="00765035" w:rsidP="00D63209">
            <w:pPr>
              <w:rPr>
                <w:rFonts w:ascii="Times New Roman" w:hAnsi="Times New Roman"/>
                <w:sz w:val="26"/>
                <w:szCs w:val="26"/>
              </w:rPr>
            </w:pPr>
            <w:r w:rsidRPr="0077427C">
              <w:rPr>
                <w:rFonts w:ascii="Times New Roman" w:hAnsi="Times New Roman"/>
                <w:sz w:val="26"/>
                <w:szCs w:val="26"/>
              </w:rPr>
              <w:t>Acquisto e posa in opera di finestre comprensive di infissi e di sostituzione di impianti di climatizzazione invernale con impianti dotati di caldaie a condensazione con specifici requisiti tecnici.</w:t>
            </w:r>
          </w:p>
        </w:tc>
      </w:tr>
      <w:tr w:rsidR="00EF3550" w:rsidRPr="0077427C" w14:paraId="0A43DEA4" w14:textId="77777777" w:rsidTr="00D63209">
        <w:tc>
          <w:tcPr>
            <w:tcW w:w="9778" w:type="dxa"/>
          </w:tcPr>
          <w:p w14:paraId="72DC58B4" w14:textId="77777777" w:rsidR="00765035" w:rsidRPr="0077427C" w:rsidRDefault="00765035" w:rsidP="00D63209">
            <w:pPr>
              <w:rPr>
                <w:rFonts w:ascii="Times New Roman" w:hAnsi="Times New Roman"/>
                <w:sz w:val="26"/>
                <w:szCs w:val="26"/>
              </w:rPr>
            </w:pPr>
            <w:r w:rsidRPr="0077427C">
              <w:rPr>
                <w:rFonts w:ascii="Times New Roman" w:hAnsi="Times New Roman"/>
                <w:sz w:val="26"/>
                <w:szCs w:val="26"/>
              </w:rPr>
              <w:t>Acquisto e posa in opera di impianti di climatizzazione invernale dotati di generatori di calore alimentati da biomasse combustibili.</w:t>
            </w:r>
          </w:p>
        </w:tc>
      </w:tr>
      <w:tr w:rsidR="00EF3550" w:rsidRPr="0077427C" w14:paraId="4B618E9F" w14:textId="77777777" w:rsidTr="00D63209">
        <w:tc>
          <w:tcPr>
            <w:tcW w:w="9778" w:type="dxa"/>
          </w:tcPr>
          <w:p w14:paraId="68C0E6C2" w14:textId="77777777" w:rsidR="00765035" w:rsidRPr="0077427C" w:rsidRDefault="00765035" w:rsidP="00D63209">
            <w:pPr>
              <w:rPr>
                <w:rFonts w:ascii="Times New Roman" w:hAnsi="Times New Roman"/>
                <w:sz w:val="26"/>
                <w:szCs w:val="26"/>
              </w:rPr>
            </w:pPr>
            <w:r w:rsidRPr="0077427C">
              <w:rPr>
                <w:rFonts w:ascii="Times New Roman" w:hAnsi="Times New Roman"/>
                <w:sz w:val="26"/>
                <w:szCs w:val="26"/>
              </w:rPr>
              <w:t>Interventi sugli involucri di edifici esistenti, parti di edifici esistenti o unità immobiliari esistenti, riguardanti strutture opache orizzontali (coperture, pavimenti), verticali (pareti generalmente esterne), finestre comprensive di infissi, delimitanti il volume riscaldato, verso l’esterno o verso vani non riscaldati, che rispettano specifici requisiti di trasmittanza.</w:t>
            </w:r>
          </w:p>
        </w:tc>
      </w:tr>
      <w:tr w:rsidR="00EF3550" w:rsidRPr="0077427C" w14:paraId="10A47BD8" w14:textId="77777777" w:rsidTr="00D63209">
        <w:tc>
          <w:tcPr>
            <w:tcW w:w="9778" w:type="dxa"/>
          </w:tcPr>
          <w:p w14:paraId="78A9440C" w14:textId="77777777" w:rsidR="00765035" w:rsidRPr="0077427C" w:rsidRDefault="00765035" w:rsidP="00D63209">
            <w:pPr>
              <w:rPr>
                <w:rFonts w:ascii="Times New Roman" w:hAnsi="Times New Roman"/>
                <w:sz w:val="26"/>
                <w:szCs w:val="26"/>
              </w:rPr>
            </w:pPr>
            <w:r w:rsidRPr="0077427C">
              <w:rPr>
                <w:rFonts w:ascii="Times New Roman" w:hAnsi="Times New Roman"/>
                <w:sz w:val="26"/>
                <w:szCs w:val="26"/>
              </w:rPr>
              <w:t>Riqualificazione energetica globale.</w:t>
            </w:r>
          </w:p>
        </w:tc>
      </w:tr>
      <w:tr w:rsidR="00EF3550" w:rsidRPr="0077427C" w14:paraId="7203BED2" w14:textId="77777777" w:rsidTr="00D63209">
        <w:tc>
          <w:tcPr>
            <w:tcW w:w="9778" w:type="dxa"/>
          </w:tcPr>
          <w:p w14:paraId="112FCE23" w14:textId="77777777" w:rsidR="00765035" w:rsidRPr="0077427C" w:rsidRDefault="00765035" w:rsidP="00D63209">
            <w:pPr>
              <w:rPr>
                <w:rFonts w:ascii="Times New Roman" w:hAnsi="Times New Roman"/>
                <w:sz w:val="26"/>
                <w:szCs w:val="26"/>
              </w:rPr>
            </w:pPr>
            <w:r w:rsidRPr="0077427C">
              <w:rPr>
                <w:rFonts w:ascii="Times New Roman" w:hAnsi="Times New Roman"/>
                <w:sz w:val="26"/>
                <w:szCs w:val="26"/>
              </w:rPr>
              <w:t>Acquisto e posa in opera di micro-cogeneratori in sostituzione di impianti esistenti.</w:t>
            </w:r>
          </w:p>
        </w:tc>
      </w:tr>
      <w:tr w:rsidR="00672735" w:rsidRPr="0077427C" w14:paraId="1EC63417" w14:textId="77777777" w:rsidTr="00D63209">
        <w:tc>
          <w:tcPr>
            <w:tcW w:w="9778" w:type="dxa"/>
          </w:tcPr>
          <w:p w14:paraId="14BC81A4" w14:textId="77777777" w:rsidR="00765035" w:rsidRPr="0077427C" w:rsidRDefault="00765035" w:rsidP="00D63209">
            <w:pPr>
              <w:rPr>
                <w:rFonts w:ascii="Times New Roman" w:hAnsi="Times New Roman"/>
                <w:sz w:val="26"/>
                <w:szCs w:val="26"/>
              </w:rPr>
            </w:pPr>
            <w:r w:rsidRPr="0077427C">
              <w:rPr>
                <w:rFonts w:ascii="Times New Roman" w:hAnsi="Times New Roman"/>
                <w:sz w:val="26"/>
                <w:szCs w:val="26"/>
              </w:rPr>
              <w:t>Interventi di riqualificazione energetica di parti comuni degli edifici condominiali (se gli interventi interessano l’involucro dell’edificio con un’incidenza superiore al 25 per cento della superficie disperdente lorda dello stesso edificio o se gli interventi sono diretti a migliorare la prestazione energetica invernale ed estiva). Le detrazioni aumentavano, inoltre, se gli interventi erano realizzati in edifici appartenenti alle zone sismiche 1, 2 o 3 e finalizzati anche alla riduzione del rischio sismico, determinando il passaggio a una o a due classi di rischio inferiore.</w:t>
            </w:r>
          </w:p>
        </w:tc>
      </w:tr>
    </w:tbl>
    <w:p w14:paraId="34C92315" w14:textId="77777777" w:rsidR="00765035" w:rsidRPr="0077427C" w:rsidRDefault="00765035" w:rsidP="00765035">
      <w:pPr>
        <w:rPr>
          <w:rFonts w:ascii="Times New Roman" w:hAnsi="Times New Roman"/>
          <w:sz w:val="26"/>
          <w:szCs w:val="26"/>
        </w:rPr>
      </w:pPr>
    </w:p>
    <w:tbl>
      <w:tblPr>
        <w:tblStyle w:val="Grigliatabell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EF3550" w:rsidRPr="0077427C" w14:paraId="5BCD6917" w14:textId="77777777" w:rsidTr="00D63209">
        <w:tc>
          <w:tcPr>
            <w:tcW w:w="9778" w:type="dxa"/>
          </w:tcPr>
          <w:p w14:paraId="2353B678" w14:textId="77777777" w:rsidR="00765035" w:rsidRPr="0077427C" w:rsidRDefault="00765035" w:rsidP="00D63209">
            <w:pPr>
              <w:jc w:val="center"/>
              <w:rPr>
                <w:rFonts w:ascii="Times New Roman" w:hAnsi="Times New Roman"/>
                <w:b/>
                <w:sz w:val="26"/>
                <w:szCs w:val="26"/>
              </w:rPr>
            </w:pPr>
            <w:r w:rsidRPr="0077427C">
              <w:rPr>
                <w:rFonts w:ascii="Times New Roman" w:hAnsi="Times New Roman"/>
                <w:b/>
                <w:sz w:val="26"/>
                <w:szCs w:val="26"/>
              </w:rPr>
              <w:t>SISMABONUS</w:t>
            </w:r>
          </w:p>
          <w:p w14:paraId="5D8BEB44" w14:textId="77777777" w:rsidR="00765035" w:rsidRPr="0077427C" w:rsidRDefault="00765035" w:rsidP="00D63209">
            <w:pPr>
              <w:jc w:val="center"/>
              <w:rPr>
                <w:rFonts w:ascii="Times New Roman" w:hAnsi="Times New Roman"/>
                <w:b/>
                <w:sz w:val="26"/>
                <w:szCs w:val="26"/>
              </w:rPr>
            </w:pPr>
            <w:r w:rsidRPr="0077427C">
              <w:rPr>
                <w:rFonts w:ascii="Times New Roman" w:hAnsi="Times New Roman"/>
                <w:b/>
                <w:sz w:val="26"/>
                <w:szCs w:val="26"/>
              </w:rPr>
              <w:t xml:space="preserve">(articolo 16 del </w:t>
            </w:r>
            <w:proofErr w:type="gramStart"/>
            <w:r w:rsidRPr="0077427C">
              <w:rPr>
                <w:rFonts w:ascii="Times New Roman" w:hAnsi="Times New Roman"/>
                <w:b/>
                <w:sz w:val="26"/>
                <w:szCs w:val="26"/>
              </w:rPr>
              <w:t>decreto legge</w:t>
            </w:r>
            <w:proofErr w:type="gramEnd"/>
            <w:r w:rsidRPr="0077427C">
              <w:rPr>
                <w:rFonts w:ascii="Times New Roman" w:hAnsi="Times New Roman"/>
                <w:b/>
                <w:sz w:val="26"/>
                <w:szCs w:val="26"/>
              </w:rPr>
              <w:t xml:space="preserve"> n. 63 del 2013)</w:t>
            </w:r>
          </w:p>
        </w:tc>
      </w:tr>
      <w:tr w:rsidR="00EF3550" w:rsidRPr="0077427C" w14:paraId="77667702" w14:textId="77777777" w:rsidTr="00D63209">
        <w:tc>
          <w:tcPr>
            <w:tcW w:w="9778" w:type="dxa"/>
          </w:tcPr>
          <w:p w14:paraId="72458BF1" w14:textId="77777777" w:rsidR="00765035" w:rsidRPr="0077427C" w:rsidRDefault="00765035" w:rsidP="00D63209">
            <w:pPr>
              <w:rPr>
                <w:rFonts w:ascii="Times New Roman" w:hAnsi="Times New Roman"/>
                <w:sz w:val="26"/>
                <w:szCs w:val="26"/>
              </w:rPr>
            </w:pPr>
            <w:r w:rsidRPr="0077427C">
              <w:rPr>
                <w:rFonts w:ascii="Times New Roman" w:hAnsi="Times New Roman"/>
                <w:sz w:val="26"/>
                <w:szCs w:val="26"/>
              </w:rPr>
              <w:t>Sino al 31 dicembre 2024 era prevista una detrazione del 50 per cento, calcolata su un ammontare massimo di 96.000 euro per unità immobiliare</w:t>
            </w:r>
            <w:r w:rsidRPr="0077427C">
              <w:rPr>
                <w:rFonts w:ascii="Times New Roman" w:hAnsi="Times New Roman"/>
                <w:b/>
                <w:sz w:val="26"/>
                <w:szCs w:val="26"/>
              </w:rPr>
              <w:t xml:space="preserve"> </w:t>
            </w:r>
            <w:r w:rsidRPr="0077427C">
              <w:rPr>
                <w:rFonts w:ascii="Times New Roman" w:hAnsi="Times New Roman"/>
                <w:sz w:val="26"/>
                <w:szCs w:val="26"/>
              </w:rPr>
              <w:t>(per ciascun anno) da ripartirsi in cinque quote annuali di pari importo fino al 31 dicembre 2023 e, a partire dal periodo d’imposta 2024 (articolo 4-</w:t>
            </w:r>
            <w:r w:rsidRPr="0077427C">
              <w:rPr>
                <w:rFonts w:ascii="Times New Roman" w:hAnsi="Times New Roman"/>
                <w:i/>
                <w:sz w:val="26"/>
                <w:szCs w:val="26"/>
              </w:rPr>
              <w:t>bis</w:t>
            </w:r>
            <w:r w:rsidRPr="0077427C">
              <w:rPr>
                <w:rFonts w:ascii="Times New Roman" w:hAnsi="Times New Roman"/>
                <w:sz w:val="26"/>
                <w:szCs w:val="26"/>
              </w:rPr>
              <w:t xml:space="preserve"> del decreto-legge 39 del 2024), in dieci quote annuali di pari importo per le spese sostenute direttamente, salvo il caso di crediti fiscali ceduti. La detrazione era più elevata (70 o 80 per cento) nei casi di riduzione del rischio sismico di una o due classi e quando i lavori fossero stati realizzati sulle parti comuni di edifici condominiali (80 o 85 per cento). Inoltre, veniva riconosciuta, a chi acquistava un edificio demolito e ricostruito nei comuni in zone classificate a rischio sismico 1, una detrazione dalle imposte per una parte consistente del prezzo di acquisto (75 o 85 per cento, fino a un massimo di 96.000 euro). </w:t>
            </w:r>
          </w:p>
          <w:p w14:paraId="71168EAA" w14:textId="77777777" w:rsidR="00765035" w:rsidRPr="0077427C" w:rsidRDefault="00765035" w:rsidP="00D63209">
            <w:pPr>
              <w:rPr>
                <w:rFonts w:ascii="Times New Roman" w:hAnsi="Times New Roman"/>
                <w:bCs/>
                <w:sz w:val="26"/>
                <w:szCs w:val="26"/>
              </w:rPr>
            </w:pPr>
            <w:r w:rsidRPr="0077427C">
              <w:rPr>
                <w:rFonts w:ascii="Times New Roman" w:hAnsi="Times New Roman"/>
                <w:bCs/>
                <w:sz w:val="26"/>
                <w:szCs w:val="26"/>
              </w:rPr>
              <w:t>L’articolo 1, comma 55, della legge di bilancio 2025 ha rimodulato la percentuale di detrazione prevista</w:t>
            </w:r>
            <w:r w:rsidRPr="0077427C">
              <w:rPr>
                <w:rFonts w:ascii="Times New Roman" w:hAnsi="Times New Roman"/>
                <w:sz w:val="26"/>
              </w:rPr>
              <w:t xml:space="preserve"> per le spese </w:t>
            </w:r>
            <w:r w:rsidRPr="0077427C">
              <w:rPr>
                <w:rFonts w:ascii="Times New Roman" w:hAnsi="Times New Roman"/>
                <w:bCs/>
                <w:sz w:val="26"/>
                <w:szCs w:val="26"/>
              </w:rPr>
              <w:t>sostenute negli anni 2025, 2026 e 2027, in misura fissa per tutte le tipologie di interventi agevolati pari al:</w:t>
            </w:r>
          </w:p>
          <w:p w14:paraId="096C022D" w14:textId="77777777" w:rsidR="00765035" w:rsidRPr="0077427C" w:rsidRDefault="00765035" w:rsidP="00765035">
            <w:pPr>
              <w:pStyle w:val="Paragrafoelenco"/>
              <w:numPr>
                <w:ilvl w:val="0"/>
                <w:numId w:val="19"/>
              </w:numPr>
              <w:rPr>
                <w:rFonts w:ascii="Times New Roman" w:hAnsi="Times New Roman"/>
                <w:bCs/>
                <w:sz w:val="26"/>
                <w:szCs w:val="26"/>
              </w:rPr>
            </w:pPr>
            <w:r w:rsidRPr="0077427C">
              <w:rPr>
                <w:rFonts w:ascii="Times New Roman" w:hAnsi="Times New Roman"/>
                <w:bCs/>
                <w:sz w:val="26"/>
                <w:szCs w:val="26"/>
              </w:rPr>
              <w:t xml:space="preserve">36 per cento delle spese sostenute nell’anno 2025 (50 per cento per le abitazioni principali); </w:t>
            </w:r>
          </w:p>
          <w:p w14:paraId="0F9C39EA" w14:textId="77777777" w:rsidR="00765035" w:rsidRPr="0077427C" w:rsidRDefault="00765035" w:rsidP="00765035">
            <w:pPr>
              <w:pStyle w:val="Paragrafoelenco"/>
              <w:numPr>
                <w:ilvl w:val="0"/>
                <w:numId w:val="19"/>
              </w:numPr>
              <w:rPr>
                <w:rFonts w:ascii="Times New Roman" w:hAnsi="Times New Roman"/>
                <w:sz w:val="26"/>
                <w:szCs w:val="26"/>
              </w:rPr>
            </w:pPr>
            <w:r w:rsidRPr="0077427C">
              <w:rPr>
                <w:rFonts w:ascii="Times New Roman" w:hAnsi="Times New Roman"/>
                <w:bCs/>
                <w:sz w:val="26"/>
                <w:szCs w:val="26"/>
              </w:rPr>
              <w:t>30 per cento delle spese sostenute negli anni 2026 e 2027 (36 per cento per le abitazioni principali).</w:t>
            </w:r>
          </w:p>
        </w:tc>
      </w:tr>
      <w:tr w:rsidR="00EF3550" w:rsidRPr="0077427C" w14:paraId="156AD4EB" w14:textId="77777777" w:rsidTr="00D63209">
        <w:tc>
          <w:tcPr>
            <w:tcW w:w="9778" w:type="dxa"/>
          </w:tcPr>
          <w:p w14:paraId="30F07FFD" w14:textId="77777777" w:rsidR="00765035" w:rsidRPr="0077427C" w:rsidRDefault="00765035" w:rsidP="00D63209">
            <w:pPr>
              <w:jc w:val="center"/>
              <w:rPr>
                <w:rFonts w:ascii="Times New Roman" w:hAnsi="Times New Roman"/>
                <w:b/>
                <w:i/>
                <w:sz w:val="26"/>
                <w:szCs w:val="26"/>
              </w:rPr>
            </w:pPr>
            <w:r w:rsidRPr="0077427C">
              <w:rPr>
                <w:rFonts w:ascii="Times New Roman" w:hAnsi="Times New Roman"/>
                <w:b/>
                <w:i/>
                <w:sz w:val="26"/>
                <w:szCs w:val="26"/>
              </w:rPr>
              <w:t>Interventi agevolabili</w:t>
            </w:r>
          </w:p>
        </w:tc>
      </w:tr>
      <w:tr w:rsidR="00EF3550" w:rsidRPr="0077427C" w14:paraId="76E907A5" w14:textId="77777777" w:rsidTr="00D63209">
        <w:tc>
          <w:tcPr>
            <w:tcW w:w="9778" w:type="dxa"/>
          </w:tcPr>
          <w:p w14:paraId="3E770434" w14:textId="77777777" w:rsidR="00765035" w:rsidRPr="0077427C" w:rsidRDefault="00765035" w:rsidP="00D63209">
            <w:pPr>
              <w:rPr>
                <w:rFonts w:ascii="Times New Roman" w:hAnsi="Times New Roman"/>
                <w:sz w:val="26"/>
                <w:szCs w:val="26"/>
              </w:rPr>
            </w:pPr>
            <w:r w:rsidRPr="0077427C">
              <w:rPr>
                <w:rFonts w:ascii="Times New Roman" w:hAnsi="Times New Roman"/>
                <w:sz w:val="26"/>
                <w:szCs w:val="26"/>
              </w:rPr>
              <w:t>Misure antisismiche con particolare riguardo all'esecuzione di opere per la messa in sicurezza statica, in particolare sulle parti strutturali, per la redazione della documentazione obbligatoria atta a comprovare la sicurezza statica del patrimonio edilizio, nonché per la realizzazione degli interventi necessari al rilascio della suddetta documentazione. Gli interventi relativi all'adozione di misure antisismiche e all'esecuzione di opere per la messa in sicurezza statica devono essere realizzati sulle parti strutturali degli edifici o complessi di edifici collegati strutturalmente e comprendere interi edifici e, ove riguardino i centri storici, devono essere eseguiti sulla base di progetti unitari e non su singole unità immobiliari. L’agevolazione fiscale può essere usufruita per interventi realizzati su tutti gli immobili di tipo abitativo (non soltanto, come in precedenza, su quelli adibiti ad abitazione principale) e su quelli utilizzati per attività produttive. Gli interventi devono essere realizzati su edifici ubicati nelle zone sismiche ad alta pericolosità (zone 1 e 2) e, a partire dal 2017, anche nella zona 3.</w:t>
            </w:r>
          </w:p>
        </w:tc>
      </w:tr>
      <w:tr w:rsidR="00EF3550" w:rsidRPr="0077427C" w14:paraId="2DE9B7C7" w14:textId="77777777" w:rsidTr="00D63209">
        <w:tc>
          <w:tcPr>
            <w:tcW w:w="9778" w:type="dxa"/>
          </w:tcPr>
          <w:p w14:paraId="64D72D17" w14:textId="77777777" w:rsidR="00765035" w:rsidRPr="0077427C" w:rsidRDefault="00765035" w:rsidP="00D63209">
            <w:pPr>
              <w:rPr>
                <w:rFonts w:ascii="Times New Roman" w:hAnsi="Times New Roman"/>
                <w:sz w:val="26"/>
                <w:szCs w:val="26"/>
              </w:rPr>
            </w:pPr>
            <w:r w:rsidRPr="0077427C">
              <w:rPr>
                <w:rFonts w:ascii="Times New Roman" w:hAnsi="Times New Roman"/>
                <w:sz w:val="26"/>
                <w:szCs w:val="26"/>
              </w:rPr>
              <w:t>Interventi da cui deriva una riduzione del rischio sismico che determina il passaggio ad una o a due classi di rischio inferiore.</w:t>
            </w:r>
          </w:p>
        </w:tc>
      </w:tr>
      <w:tr w:rsidR="00EF3550" w:rsidRPr="0077427C" w14:paraId="6FC1C003" w14:textId="77777777" w:rsidTr="00D63209">
        <w:tc>
          <w:tcPr>
            <w:tcW w:w="9778" w:type="dxa"/>
          </w:tcPr>
          <w:p w14:paraId="7A3C20C3" w14:textId="77777777" w:rsidR="00765035" w:rsidRPr="0077427C" w:rsidRDefault="00765035" w:rsidP="00D63209">
            <w:pPr>
              <w:rPr>
                <w:rFonts w:ascii="Times New Roman" w:hAnsi="Times New Roman"/>
                <w:sz w:val="26"/>
                <w:szCs w:val="26"/>
              </w:rPr>
            </w:pPr>
            <w:r w:rsidRPr="0077427C">
              <w:rPr>
                <w:rFonts w:ascii="Times New Roman" w:hAnsi="Times New Roman"/>
                <w:sz w:val="26"/>
                <w:szCs w:val="26"/>
              </w:rPr>
              <w:t>Interventi da cui deriva una riduzione del rischio sismico che determina il passaggio ad una o a due classi di rischio inferiore, realizzati sulle parti comuni di edifici condominiali.</w:t>
            </w:r>
          </w:p>
        </w:tc>
      </w:tr>
      <w:tr w:rsidR="00672735" w:rsidRPr="0077427C" w14:paraId="789ECDF9" w14:textId="77777777" w:rsidTr="00D63209">
        <w:tc>
          <w:tcPr>
            <w:tcW w:w="9778" w:type="dxa"/>
          </w:tcPr>
          <w:p w14:paraId="76F037EF" w14:textId="77777777" w:rsidR="00765035" w:rsidRPr="0077427C" w:rsidRDefault="00765035" w:rsidP="00D63209">
            <w:pPr>
              <w:rPr>
                <w:rFonts w:ascii="Times New Roman" w:hAnsi="Times New Roman"/>
                <w:sz w:val="26"/>
                <w:szCs w:val="26"/>
              </w:rPr>
            </w:pPr>
            <w:r w:rsidRPr="0077427C">
              <w:rPr>
                <w:rFonts w:ascii="Times New Roman" w:hAnsi="Times New Roman"/>
                <w:sz w:val="26"/>
                <w:szCs w:val="26"/>
              </w:rPr>
              <w:t xml:space="preserve">Interventi antisismici realizzati mediante demolizione e ricostruzione di interi edifici se dalla realizzazione degli interventi deriva una riduzione del rischio sismico che determini il passaggio a una o due classi di rischio inferiore. </w:t>
            </w:r>
          </w:p>
        </w:tc>
      </w:tr>
    </w:tbl>
    <w:p w14:paraId="7F50B6EC" w14:textId="77777777" w:rsidR="00765035" w:rsidRPr="0077427C" w:rsidRDefault="00765035" w:rsidP="00765035">
      <w:pPr>
        <w:ind w:left="720"/>
        <w:contextualSpacing/>
        <w:rPr>
          <w:rFonts w:ascii="Times New Roman" w:hAnsi="Times New Roman"/>
          <w:sz w:val="26"/>
          <w:szCs w:val="26"/>
        </w:rPr>
      </w:pPr>
    </w:p>
    <w:tbl>
      <w:tblPr>
        <w:tblStyle w:val="Grigliatabell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EF3550" w:rsidRPr="0077427C" w14:paraId="485B2AF8" w14:textId="77777777" w:rsidTr="00D63209">
        <w:tc>
          <w:tcPr>
            <w:tcW w:w="9778" w:type="dxa"/>
          </w:tcPr>
          <w:p w14:paraId="56868A79" w14:textId="77777777" w:rsidR="00765035" w:rsidRPr="0077427C" w:rsidRDefault="00765035" w:rsidP="00D63209">
            <w:pPr>
              <w:jc w:val="center"/>
              <w:rPr>
                <w:rFonts w:ascii="Times New Roman" w:hAnsi="Times New Roman"/>
                <w:b/>
                <w:sz w:val="26"/>
                <w:szCs w:val="26"/>
              </w:rPr>
            </w:pPr>
            <w:r w:rsidRPr="0077427C">
              <w:rPr>
                <w:rFonts w:ascii="Times New Roman" w:hAnsi="Times New Roman"/>
                <w:b/>
                <w:sz w:val="26"/>
                <w:szCs w:val="26"/>
              </w:rPr>
              <w:t xml:space="preserve">INTERVENTI DI RIQUALIFICAZIONE EDILIZIA </w:t>
            </w:r>
          </w:p>
          <w:p w14:paraId="027B1ED9" w14:textId="77777777" w:rsidR="00765035" w:rsidRPr="0077427C" w:rsidRDefault="00765035" w:rsidP="00D63209">
            <w:pPr>
              <w:jc w:val="center"/>
              <w:rPr>
                <w:rFonts w:ascii="Times New Roman" w:hAnsi="Times New Roman"/>
                <w:b/>
                <w:sz w:val="26"/>
                <w:szCs w:val="26"/>
              </w:rPr>
            </w:pPr>
            <w:r w:rsidRPr="0077427C">
              <w:rPr>
                <w:rFonts w:ascii="Times New Roman" w:hAnsi="Times New Roman"/>
                <w:b/>
                <w:sz w:val="26"/>
                <w:szCs w:val="26"/>
              </w:rPr>
              <w:t>(Articolo 16-</w:t>
            </w:r>
            <w:r w:rsidRPr="0077427C">
              <w:rPr>
                <w:rFonts w:ascii="Times New Roman" w:hAnsi="Times New Roman"/>
                <w:b/>
                <w:i/>
                <w:sz w:val="26"/>
                <w:szCs w:val="26"/>
              </w:rPr>
              <w:t>bis</w:t>
            </w:r>
            <w:r w:rsidRPr="0077427C">
              <w:rPr>
                <w:rFonts w:ascii="Times New Roman" w:hAnsi="Times New Roman"/>
                <w:b/>
                <w:sz w:val="26"/>
                <w:szCs w:val="26"/>
              </w:rPr>
              <w:t xml:space="preserve"> del decreto del Presidente della Repubblica n. 917 del 1986, articolo 16 del </w:t>
            </w:r>
            <w:proofErr w:type="gramStart"/>
            <w:r w:rsidRPr="0077427C">
              <w:rPr>
                <w:rFonts w:ascii="Times New Roman" w:hAnsi="Times New Roman"/>
                <w:b/>
                <w:sz w:val="26"/>
                <w:szCs w:val="26"/>
              </w:rPr>
              <w:t>decreto legge</w:t>
            </w:r>
            <w:proofErr w:type="gramEnd"/>
            <w:r w:rsidRPr="0077427C">
              <w:rPr>
                <w:rFonts w:ascii="Times New Roman" w:hAnsi="Times New Roman"/>
                <w:b/>
                <w:sz w:val="26"/>
                <w:szCs w:val="26"/>
              </w:rPr>
              <w:t xml:space="preserve"> n. 63 del 2013, articolo 119-</w:t>
            </w:r>
            <w:r w:rsidRPr="0077427C">
              <w:rPr>
                <w:rFonts w:ascii="Times New Roman" w:hAnsi="Times New Roman"/>
                <w:b/>
                <w:i/>
                <w:sz w:val="26"/>
                <w:szCs w:val="26"/>
              </w:rPr>
              <w:t>ter</w:t>
            </w:r>
            <w:r w:rsidRPr="0077427C">
              <w:rPr>
                <w:rFonts w:ascii="Times New Roman" w:hAnsi="Times New Roman"/>
                <w:b/>
                <w:sz w:val="26"/>
                <w:szCs w:val="26"/>
              </w:rPr>
              <w:t xml:space="preserve"> del decreto legge. n. 34 del 2020 e articolo 1, comma 12, della legge, n. 205 del 2017)</w:t>
            </w:r>
          </w:p>
        </w:tc>
      </w:tr>
      <w:tr w:rsidR="00EF3550" w:rsidRPr="0077427C" w14:paraId="1AF7CB79" w14:textId="77777777" w:rsidTr="00D63209">
        <w:tc>
          <w:tcPr>
            <w:tcW w:w="9778" w:type="dxa"/>
          </w:tcPr>
          <w:p w14:paraId="6C8C5884" w14:textId="5F8BB985" w:rsidR="00765035" w:rsidRPr="0077427C" w:rsidRDefault="00765035" w:rsidP="00D63209">
            <w:pPr>
              <w:rPr>
                <w:rFonts w:ascii="Times New Roman" w:hAnsi="Times New Roman"/>
                <w:sz w:val="26"/>
                <w:szCs w:val="26"/>
              </w:rPr>
            </w:pPr>
            <w:r w:rsidRPr="0077427C">
              <w:rPr>
                <w:rFonts w:ascii="Times New Roman" w:hAnsi="Times New Roman"/>
                <w:sz w:val="26"/>
                <w:szCs w:val="26"/>
              </w:rPr>
              <w:t xml:space="preserve">Era riconosciuta una detrazione al 50 per cento dall'imposta lorda fino ad un ammontare complessivo non superiore a 96.000 euro per unità immobiliare fino al 31 dicembre 2024 (si prevedeva che, a decorrere dal 1° gennaio 2025, la detrazione fosse ridotta al 36 per cento delle spese documentate, fino ad un ammontare complessivo delle stesse non superiore a 48.000 euro per unità immobiliare, e dal 1°gennaio 2028 al 31 dicembre 2033, venisse ulteriormente ridotta al 30 per cento). Tale aliquota, inoltre, aumentava al 75 per cento per gli interventi volti alla eliminazione delle barriere architettoniche e diminuiva al 36 per cento per gli interventi relativi alla «sistemazione a verde». L’agevolazione poteva essere richiesta per le spese sostenute entro il </w:t>
            </w:r>
            <w:r w:rsidRPr="0077427C">
              <w:rPr>
                <w:rFonts w:ascii="Times New Roman" w:hAnsi="Times New Roman"/>
                <w:bCs/>
                <w:sz w:val="26"/>
                <w:szCs w:val="26"/>
              </w:rPr>
              <w:t>31 dicembre 2024</w:t>
            </w:r>
            <w:r w:rsidRPr="0077427C">
              <w:rPr>
                <w:rFonts w:ascii="Times New Roman" w:hAnsi="Times New Roman"/>
                <w:sz w:val="26"/>
                <w:szCs w:val="26"/>
              </w:rPr>
              <w:t>, tranne la detrazione prevista al 75 per cento (articolo 119-</w:t>
            </w:r>
            <w:r w:rsidRPr="0077427C">
              <w:rPr>
                <w:rFonts w:ascii="Times New Roman" w:hAnsi="Times New Roman"/>
                <w:i/>
                <w:sz w:val="26"/>
                <w:szCs w:val="26"/>
              </w:rPr>
              <w:t>ter</w:t>
            </w:r>
            <w:r w:rsidRPr="0077427C">
              <w:rPr>
                <w:rFonts w:ascii="Times New Roman" w:hAnsi="Times New Roman"/>
                <w:sz w:val="26"/>
                <w:szCs w:val="26"/>
              </w:rPr>
              <w:t xml:space="preserve"> del </w:t>
            </w:r>
            <w:proofErr w:type="gramStart"/>
            <w:r w:rsidRPr="0077427C">
              <w:rPr>
                <w:rFonts w:ascii="Times New Roman" w:hAnsi="Times New Roman"/>
                <w:sz w:val="26"/>
                <w:szCs w:val="26"/>
              </w:rPr>
              <w:t>decreto legge</w:t>
            </w:r>
            <w:proofErr w:type="gramEnd"/>
            <w:r w:rsidRPr="0077427C">
              <w:rPr>
                <w:rFonts w:ascii="Times New Roman" w:hAnsi="Times New Roman"/>
                <w:sz w:val="26"/>
                <w:szCs w:val="26"/>
              </w:rPr>
              <w:t>. n. 34 del 2020) per gli interventi finalizzati al superamento e all'eliminazione di barriere architettoniche il cui termine è al 31 dicembre 2025.</w:t>
            </w:r>
          </w:p>
          <w:p w14:paraId="5F2CAA6D" w14:textId="77777777" w:rsidR="00765035" w:rsidRPr="0077427C" w:rsidRDefault="00765035" w:rsidP="00D63209">
            <w:pPr>
              <w:rPr>
                <w:rFonts w:ascii="Times New Roman" w:hAnsi="Times New Roman"/>
                <w:sz w:val="26"/>
                <w:szCs w:val="26"/>
              </w:rPr>
            </w:pPr>
            <w:r w:rsidRPr="0077427C">
              <w:rPr>
                <w:rFonts w:ascii="Times New Roman" w:hAnsi="Times New Roman"/>
                <w:sz w:val="26"/>
                <w:szCs w:val="26"/>
              </w:rPr>
              <w:t>La legge di bilancio 2025:</w:t>
            </w:r>
          </w:p>
          <w:p w14:paraId="4F92F5C8" w14:textId="77777777" w:rsidR="00765035" w:rsidRPr="0077427C" w:rsidRDefault="00765035" w:rsidP="00D63209">
            <w:pPr>
              <w:rPr>
                <w:rFonts w:ascii="Times New Roman" w:hAnsi="Times New Roman"/>
                <w:sz w:val="26"/>
                <w:szCs w:val="26"/>
              </w:rPr>
            </w:pPr>
            <w:r w:rsidRPr="0077427C">
              <w:rPr>
                <w:rFonts w:ascii="Times New Roman" w:hAnsi="Times New Roman"/>
                <w:sz w:val="26"/>
                <w:szCs w:val="26"/>
              </w:rPr>
              <w:t>- ha anticipato al 1° gennaio 2025 la riduzione dal 36 per cento (aliquota prevista a regime dall’articolo 16-</w:t>
            </w:r>
            <w:r w:rsidRPr="0077427C">
              <w:rPr>
                <w:rFonts w:ascii="Times New Roman" w:hAnsi="Times New Roman"/>
                <w:i/>
                <w:sz w:val="26"/>
                <w:szCs w:val="26"/>
              </w:rPr>
              <w:t>bis</w:t>
            </w:r>
            <w:r w:rsidRPr="0077427C">
              <w:rPr>
                <w:rFonts w:ascii="Times New Roman" w:hAnsi="Times New Roman"/>
                <w:sz w:val="26"/>
                <w:szCs w:val="26"/>
              </w:rPr>
              <w:t xml:space="preserve"> del TUIR) al 30 per cento, già prevista a normativa vigente per le spese sostenute dal 1° gennaio 2028 al 31 dicembre 2033, dell’aliquota di detrazione delle spese per interventi di recupero del patrimonio edilizio e di riqualificazione energetica degli edifici (articolo 1, comma 54);</w:t>
            </w:r>
          </w:p>
          <w:p w14:paraId="53EBDFDC" w14:textId="77777777" w:rsidR="00765035" w:rsidRPr="0077427C" w:rsidRDefault="00765035" w:rsidP="00D63209">
            <w:pPr>
              <w:rPr>
                <w:rFonts w:ascii="Times New Roman" w:hAnsi="Times New Roman"/>
                <w:sz w:val="26"/>
                <w:szCs w:val="26"/>
              </w:rPr>
            </w:pPr>
            <w:r w:rsidRPr="0077427C">
              <w:rPr>
                <w:rFonts w:ascii="Times New Roman" w:hAnsi="Times New Roman"/>
                <w:sz w:val="26"/>
                <w:szCs w:val="26"/>
              </w:rPr>
              <w:t>-</w:t>
            </w:r>
            <w:r w:rsidRPr="0077427C">
              <w:rPr>
                <w:rFonts w:ascii="Times New Roman" w:hAnsi="Times New Roman"/>
                <w:sz w:val="26"/>
              </w:rPr>
              <w:t xml:space="preserve"> ha stabilito che per le spese relative al recupero del patrimonio edilizio e di riqualificazione energetica degli edifici, </w:t>
            </w:r>
            <w:r w:rsidRPr="0077427C">
              <w:rPr>
                <w:rFonts w:ascii="Times New Roman" w:hAnsi="Times New Roman"/>
                <w:sz w:val="26"/>
                <w:szCs w:val="26"/>
              </w:rPr>
              <w:t xml:space="preserve">sostenute negli anni 2025, 2026 e 2027, ai sensi   dell’articolo 16 del </w:t>
            </w:r>
            <w:proofErr w:type="gramStart"/>
            <w:r w:rsidRPr="0077427C">
              <w:rPr>
                <w:rFonts w:ascii="Times New Roman" w:hAnsi="Times New Roman"/>
                <w:sz w:val="26"/>
                <w:szCs w:val="26"/>
              </w:rPr>
              <w:t>decreto legge</w:t>
            </w:r>
            <w:proofErr w:type="gramEnd"/>
            <w:r w:rsidRPr="0077427C">
              <w:rPr>
                <w:rFonts w:ascii="Times New Roman" w:hAnsi="Times New Roman"/>
                <w:sz w:val="26"/>
                <w:szCs w:val="26"/>
              </w:rPr>
              <w:t xml:space="preserve"> n.63 del 2013, spetti una detrazione dall'imposta lorda pari al 36 per cento delle spese sostenute nell’anno 2025 e al 30 per cento delle spese sostenute negli anni 2026 e 2027, fino a un ammontare complessivo delle stesse non superiore a 96.000 euro per unità immobiliare.</w:t>
            </w:r>
            <w:r w:rsidRPr="0077427C">
              <w:rPr>
                <w:rFonts w:ascii="Fira Sans" w:hAnsi="Fira Sans"/>
                <w:sz w:val="22"/>
                <w:shd w:val="clear" w:color="auto" w:fill="FFFFFF"/>
              </w:rPr>
              <w:t xml:space="preserve"> </w:t>
            </w:r>
            <w:r w:rsidRPr="0077427C">
              <w:rPr>
                <w:rFonts w:ascii="Times New Roman" w:hAnsi="Times New Roman"/>
                <w:sz w:val="26"/>
              </w:rPr>
              <w:t xml:space="preserve">Tale detrazione spettante per gli anni 2025, 2026 e 2027 è innalzata al 50 per cento delle spese per l’anno 2025 (rispetto al 36 per cento) e al 36 per cento delle spese per gli anni 2026 e 2027 (rispetto al 30 per cento), nel caso in cui le medesime spese siano sostenute dai titolari di diritto di proprietà o di diritto reale di godimento sull’unità immobiliare adibita ad abitazione principale. </w:t>
            </w:r>
            <w:r w:rsidRPr="0077427C">
              <w:rPr>
                <w:rFonts w:ascii="Times New Roman" w:hAnsi="Times New Roman"/>
                <w:bCs/>
                <w:sz w:val="26"/>
              </w:rPr>
              <w:t>Con la medesima disposizione sono esclusi dall’agevolazione gli interventi di sostituzione degli impianti di climatizzazione invernale con caldaie uniche alimentate a combustibili fossili</w:t>
            </w:r>
            <w:r w:rsidRPr="0077427C">
              <w:rPr>
                <w:rFonts w:ascii="Times New Roman" w:hAnsi="Times New Roman"/>
                <w:sz w:val="26"/>
              </w:rPr>
              <w:t xml:space="preserve"> (articolo 1, comma 55).</w:t>
            </w:r>
            <w:r w:rsidRPr="0077427C">
              <w:rPr>
                <w:rFonts w:ascii="Times New Roman" w:hAnsi="Times New Roman"/>
                <w:sz w:val="26"/>
                <w:szCs w:val="26"/>
              </w:rPr>
              <w:t> </w:t>
            </w:r>
          </w:p>
        </w:tc>
      </w:tr>
      <w:tr w:rsidR="00EF3550" w:rsidRPr="0077427C" w14:paraId="1CE0468A" w14:textId="77777777" w:rsidTr="00D63209">
        <w:tc>
          <w:tcPr>
            <w:tcW w:w="9778" w:type="dxa"/>
          </w:tcPr>
          <w:p w14:paraId="2F459E8D" w14:textId="77777777" w:rsidR="00765035" w:rsidRPr="0077427C" w:rsidRDefault="00765035" w:rsidP="00D63209">
            <w:pPr>
              <w:jc w:val="center"/>
              <w:rPr>
                <w:rFonts w:ascii="Times New Roman" w:hAnsi="Times New Roman"/>
                <w:b/>
                <w:i/>
                <w:sz w:val="26"/>
                <w:szCs w:val="26"/>
              </w:rPr>
            </w:pPr>
            <w:r w:rsidRPr="0077427C">
              <w:rPr>
                <w:rFonts w:ascii="Times New Roman" w:hAnsi="Times New Roman"/>
                <w:b/>
                <w:i/>
                <w:sz w:val="26"/>
                <w:szCs w:val="26"/>
              </w:rPr>
              <w:t>Interventi agevolabili</w:t>
            </w:r>
          </w:p>
        </w:tc>
      </w:tr>
      <w:tr w:rsidR="00EF3550" w:rsidRPr="0077427C" w14:paraId="673B2524" w14:textId="77777777" w:rsidTr="00D63209">
        <w:tc>
          <w:tcPr>
            <w:tcW w:w="9778" w:type="dxa"/>
          </w:tcPr>
          <w:p w14:paraId="62FEE244" w14:textId="77777777" w:rsidR="00765035" w:rsidRPr="0077427C" w:rsidRDefault="00765035" w:rsidP="00D63209">
            <w:pPr>
              <w:rPr>
                <w:rFonts w:ascii="Times New Roman" w:hAnsi="Times New Roman"/>
                <w:sz w:val="26"/>
                <w:szCs w:val="26"/>
              </w:rPr>
            </w:pPr>
            <w:r w:rsidRPr="0077427C">
              <w:rPr>
                <w:rFonts w:ascii="Times New Roman" w:hAnsi="Times New Roman"/>
                <w:sz w:val="26"/>
                <w:szCs w:val="26"/>
              </w:rPr>
              <w:t>Interventi di manutenzione straordinaria, restauro e risanamento conservativo e ristrutturazione edilizia effettuati sulle singole unità immobiliari residenziali di qualsiasi categoria catastale, anche rurali e sulle loro pertinenze, nonché su tutte le parti comuni degli edifici residenziali.</w:t>
            </w:r>
          </w:p>
        </w:tc>
      </w:tr>
      <w:tr w:rsidR="00EF3550" w:rsidRPr="0077427C" w14:paraId="7A272C22" w14:textId="77777777" w:rsidTr="00D63209">
        <w:tc>
          <w:tcPr>
            <w:tcW w:w="9778" w:type="dxa"/>
          </w:tcPr>
          <w:p w14:paraId="630CB922" w14:textId="77777777" w:rsidR="00765035" w:rsidRPr="0077427C" w:rsidRDefault="00765035" w:rsidP="00D63209">
            <w:pPr>
              <w:rPr>
                <w:rFonts w:ascii="Times New Roman" w:hAnsi="Times New Roman"/>
                <w:sz w:val="26"/>
                <w:szCs w:val="26"/>
              </w:rPr>
            </w:pPr>
            <w:r w:rsidRPr="0077427C">
              <w:rPr>
                <w:rFonts w:ascii="Times New Roman" w:hAnsi="Times New Roman"/>
                <w:sz w:val="26"/>
                <w:szCs w:val="26"/>
              </w:rPr>
              <w:t xml:space="preserve">Interventi necessari alla ricostruzione o al ripristino dell’immobile danneggiato a seguito di eventi calamitosi, anche se questi lavori non rientrano nelle categorie indicate nei precedenti punti e a condizione che sia stato dichiarato lo stato di emergenza. </w:t>
            </w:r>
          </w:p>
        </w:tc>
      </w:tr>
      <w:tr w:rsidR="00EF3550" w:rsidRPr="0077427C" w14:paraId="4737CC21" w14:textId="77777777" w:rsidTr="00D63209">
        <w:tc>
          <w:tcPr>
            <w:tcW w:w="9778" w:type="dxa"/>
          </w:tcPr>
          <w:p w14:paraId="4BD50BF0" w14:textId="77777777" w:rsidR="00765035" w:rsidRPr="0077427C" w:rsidRDefault="00765035" w:rsidP="00D63209">
            <w:pPr>
              <w:rPr>
                <w:rFonts w:ascii="Times New Roman" w:hAnsi="Times New Roman"/>
                <w:sz w:val="26"/>
                <w:szCs w:val="26"/>
              </w:rPr>
            </w:pPr>
            <w:r w:rsidRPr="0077427C">
              <w:rPr>
                <w:rFonts w:ascii="Times New Roman" w:hAnsi="Times New Roman"/>
                <w:sz w:val="26"/>
                <w:szCs w:val="26"/>
              </w:rPr>
              <w:t>Interventi relativi alla realizzazione di autorimesse o posti auto pertinenziali, anche a proprietà comune.</w:t>
            </w:r>
          </w:p>
        </w:tc>
      </w:tr>
      <w:tr w:rsidR="00EF3550" w:rsidRPr="0077427C" w14:paraId="67278B0E" w14:textId="77777777" w:rsidTr="00D63209">
        <w:tc>
          <w:tcPr>
            <w:tcW w:w="9778" w:type="dxa"/>
          </w:tcPr>
          <w:p w14:paraId="429EF4F1" w14:textId="77777777" w:rsidR="00765035" w:rsidRPr="0077427C" w:rsidRDefault="00765035" w:rsidP="00D63209">
            <w:pPr>
              <w:rPr>
                <w:rFonts w:ascii="Times New Roman" w:hAnsi="Times New Roman"/>
                <w:sz w:val="26"/>
                <w:szCs w:val="26"/>
              </w:rPr>
            </w:pPr>
            <w:r w:rsidRPr="0077427C">
              <w:rPr>
                <w:rFonts w:ascii="Times New Roman" w:hAnsi="Times New Roman"/>
                <w:sz w:val="26"/>
                <w:szCs w:val="26"/>
              </w:rPr>
              <w:t>Interventi finalizzati all’eliminazione delle barriere architettoniche, aventi ad oggetto ascensori e montacarichi.</w:t>
            </w:r>
          </w:p>
        </w:tc>
      </w:tr>
      <w:tr w:rsidR="00EF3550" w:rsidRPr="0077427C" w14:paraId="0D4C363A" w14:textId="77777777" w:rsidTr="00D63209">
        <w:tc>
          <w:tcPr>
            <w:tcW w:w="9778" w:type="dxa"/>
          </w:tcPr>
          <w:p w14:paraId="730E7931" w14:textId="77777777" w:rsidR="00765035" w:rsidRPr="0077427C" w:rsidRDefault="00765035" w:rsidP="00D63209">
            <w:pPr>
              <w:rPr>
                <w:rFonts w:ascii="Times New Roman" w:hAnsi="Times New Roman"/>
                <w:sz w:val="26"/>
                <w:szCs w:val="26"/>
              </w:rPr>
            </w:pPr>
            <w:r w:rsidRPr="0077427C">
              <w:rPr>
                <w:rFonts w:ascii="Times New Roman" w:hAnsi="Times New Roman"/>
                <w:sz w:val="26"/>
                <w:szCs w:val="26"/>
              </w:rPr>
              <w:t xml:space="preserve">Interventi per la realizzazione di ogni strumento che, attraverso la comunicazione, la robotica e ogni altro mezzo di tecnologia più avanzata, sia idoneo a favorire la mobilità interna ed esterna all’abitazione per le persone portatrici di handicap gravi. </w:t>
            </w:r>
          </w:p>
        </w:tc>
      </w:tr>
      <w:tr w:rsidR="00EF3550" w:rsidRPr="0077427C" w14:paraId="20BAE0C5" w14:textId="77777777" w:rsidTr="00D63209">
        <w:tc>
          <w:tcPr>
            <w:tcW w:w="9778" w:type="dxa"/>
          </w:tcPr>
          <w:p w14:paraId="3FC9186D" w14:textId="77777777" w:rsidR="00765035" w:rsidRPr="0077427C" w:rsidRDefault="00765035" w:rsidP="00D63209">
            <w:pPr>
              <w:rPr>
                <w:rFonts w:ascii="Times New Roman" w:hAnsi="Times New Roman"/>
                <w:sz w:val="26"/>
                <w:szCs w:val="26"/>
              </w:rPr>
            </w:pPr>
            <w:r w:rsidRPr="0077427C">
              <w:rPr>
                <w:rFonts w:ascii="Times New Roman" w:hAnsi="Times New Roman"/>
                <w:sz w:val="26"/>
                <w:szCs w:val="26"/>
              </w:rPr>
              <w:t>Interventi di bonifica dall’amianto e di esecuzione di opere volte ad evitare gli infortuni domestici.</w:t>
            </w:r>
          </w:p>
        </w:tc>
      </w:tr>
      <w:tr w:rsidR="00EF3550" w:rsidRPr="0077427C" w14:paraId="0B87238C" w14:textId="77777777" w:rsidTr="00D63209">
        <w:tc>
          <w:tcPr>
            <w:tcW w:w="9778" w:type="dxa"/>
          </w:tcPr>
          <w:p w14:paraId="3C4DB0DF" w14:textId="77777777" w:rsidR="00765035" w:rsidRPr="0077427C" w:rsidRDefault="00765035" w:rsidP="00D63209">
            <w:pPr>
              <w:rPr>
                <w:rFonts w:ascii="Times New Roman" w:hAnsi="Times New Roman"/>
                <w:sz w:val="26"/>
                <w:szCs w:val="26"/>
              </w:rPr>
            </w:pPr>
            <w:r w:rsidRPr="0077427C">
              <w:rPr>
                <w:rFonts w:ascii="Times New Roman" w:hAnsi="Times New Roman"/>
                <w:sz w:val="26"/>
                <w:szCs w:val="26"/>
              </w:rPr>
              <w:t>Interventi relativi all’adozione di misure finalizzate a prevenire il rischio del compimento di atti illeciti da parte di terzi.</w:t>
            </w:r>
          </w:p>
        </w:tc>
      </w:tr>
      <w:tr w:rsidR="00EF3550" w:rsidRPr="0077427C" w14:paraId="641E714B" w14:textId="77777777" w:rsidTr="00D63209">
        <w:tc>
          <w:tcPr>
            <w:tcW w:w="9778" w:type="dxa"/>
          </w:tcPr>
          <w:p w14:paraId="5A6B5EBD" w14:textId="77777777" w:rsidR="00765035" w:rsidRPr="0077427C" w:rsidRDefault="00765035" w:rsidP="00D63209">
            <w:pPr>
              <w:rPr>
                <w:rFonts w:ascii="Times New Roman" w:hAnsi="Times New Roman"/>
                <w:sz w:val="26"/>
                <w:szCs w:val="26"/>
              </w:rPr>
            </w:pPr>
            <w:r w:rsidRPr="0077427C">
              <w:rPr>
                <w:rFonts w:ascii="Times New Roman" w:hAnsi="Times New Roman"/>
                <w:sz w:val="26"/>
                <w:szCs w:val="26"/>
              </w:rPr>
              <w:t>Interventi finalizzati alla cablatura degli edifici, al contenimento dell’inquinamento acustico, al conseguimento di risparmi energetici, all’adozione di misure di sicurezza statica e antisismica degli edifici.</w:t>
            </w:r>
          </w:p>
        </w:tc>
      </w:tr>
      <w:tr w:rsidR="00EF3550" w:rsidRPr="0077427C" w14:paraId="6D17D46F" w14:textId="77777777" w:rsidTr="00D63209">
        <w:tc>
          <w:tcPr>
            <w:tcW w:w="9778" w:type="dxa"/>
          </w:tcPr>
          <w:p w14:paraId="7EED3504" w14:textId="77777777" w:rsidR="00765035" w:rsidRPr="0077427C" w:rsidRDefault="00765035" w:rsidP="00D63209">
            <w:pPr>
              <w:rPr>
                <w:rFonts w:ascii="Times New Roman" w:hAnsi="Times New Roman"/>
                <w:sz w:val="26"/>
                <w:szCs w:val="26"/>
              </w:rPr>
            </w:pPr>
            <w:r w:rsidRPr="0077427C">
              <w:rPr>
                <w:rFonts w:ascii="Times New Roman" w:hAnsi="Times New Roman"/>
                <w:sz w:val="26"/>
                <w:szCs w:val="26"/>
              </w:rPr>
              <w:t>Interventi di sostituzione del gruppo elettrogeno di emergenza esistente con generatori di emergenza a gas di ultima generazione.</w:t>
            </w:r>
          </w:p>
        </w:tc>
      </w:tr>
      <w:tr w:rsidR="00EF3550" w:rsidRPr="0077427C" w14:paraId="4480EDEE" w14:textId="77777777" w:rsidTr="00D63209">
        <w:tc>
          <w:tcPr>
            <w:tcW w:w="9778" w:type="dxa"/>
          </w:tcPr>
          <w:p w14:paraId="463D9B70" w14:textId="77777777" w:rsidR="00765035" w:rsidRPr="0077427C" w:rsidRDefault="00765035" w:rsidP="00D63209">
            <w:pPr>
              <w:rPr>
                <w:rFonts w:ascii="Times New Roman" w:hAnsi="Times New Roman"/>
                <w:sz w:val="26"/>
                <w:szCs w:val="26"/>
              </w:rPr>
            </w:pPr>
            <w:r w:rsidRPr="0077427C">
              <w:rPr>
                <w:rFonts w:ascii="Times New Roman" w:hAnsi="Times New Roman"/>
                <w:sz w:val="26"/>
                <w:szCs w:val="26"/>
              </w:rPr>
              <w:t>Interventi finalizzati all’eliminazione di barriere architettoniche in edifici già esistenti; dal 1°gennaio 2022 al 31 dicembre 2025 è stata introdotta una detrazione nella misura del 75 per cento delle spese sostenute per interventi finalizzati al superamento e all’eliminazione di barriere architettoniche (119-</w:t>
            </w:r>
            <w:r w:rsidRPr="0077427C">
              <w:rPr>
                <w:rFonts w:ascii="Times New Roman" w:hAnsi="Times New Roman"/>
                <w:i/>
                <w:sz w:val="26"/>
                <w:szCs w:val="26"/>
              </w:rPr>
              <w:t>ter</w:t>
            </w:r>
            <w:r w:rsidRPr="0077427C">
              <w:rPr>
                <w:rFonts w:ascii="Times New Roman" w:hAnsi="Times New Roman"/>
                <w:sz w:val="26"/>
                <w:szCs w:val="26"/>
              </w:rPr>
              <w:t xml:space="preserve"> del decreto-legge n. 34 del 2020).</w:t>
            </w:r>
          </w:p>
        </w:tc>
      </w:tr>
      <w:tr w:rsidR="00672735" w:rsidRPr="0077427C" w14:paraId="7AE8001D" w14:textId="77777777" w:rsidTr="00D63209">
        <w:tc>
          <w:tcPr>
            <w:tcW w:w="9778" w:type="dxa"/>
          </w:tcPr>
          <w:p w14:paraId="21349FED" w14:textId="77777777" w:rsidR="00765035" w:rsidRPr="0077427C" w:rsidRDefault="00765035" w:rsidP="00D63209">
            <w:pPr>
              <w:rPr>
                <w:rFonts w:ascii="Times New Roman" w:hAnsi="Times New Roman"/>
                <w:sz w:val="26"/>
                <w:szCs w:val="26"/>
              </w:rPr>
            </w:pPr>
            <w:r w:rsidRPr="0077427C">
              <w:rPr>
                <w:rFonts w:ascii="Times New Roman" w:hAnsi="Times New Roman"/>
                <w:sz w:val="26"/>
                <w:szCs w:val="26"/>
              </w:rPr>
              <w:t>Interventi relativi alla «sistemazione a verde» di aree scoperte private di edifici esistenti, unità immobiliari, pertinenze o recinzioni, impianti di irrigazione e realizzazione pozzi nonché alla realizzazione di coperture a verde e di giardini pensili (bonus verde), sino al 31 dicembre 2024.</w:t>
            </w:r>
          </w:p>
        </w:tc>
      </w:tr>
    </w:tbl>
    <w:p w14:paraId="4CFE6D33" w14:textId="77777777" w:rsidR="00765035" w:rsidRPr="0077427C" w:rsidRDefault="00765035" w:rsidP="00765035">
      <w:pPr>
        <w:ind w:left="720"/>
        <w:contextualSpacing/>
        <w:rPr>
          <w:rFonts w:ascii="Times New Roman" w:hAnsi="Times New Roman"/>
          <w:sz w:val="26"/>
          <w:szCs w:val="26"/>
        </w:rPr>
      </w:pPr>
    </w:p>
    <w:tbl>
      <w:tblPr>
        <w:tblStyle w:val="Grigliatabell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EF3550" w:rsidRPr="0077427C" w14:paraId="129C3A2D" w14:textId="77777777" w:rsidTr="00D63209">
        <w:tc>
          <w:tcPr>
            <w:tcW w:w="9628" w:type="dxa"/>
          </w:tcPr>
          <w:p w14:paraId="57B0277A" w14:textId="77777777" w:rsidR="00765035" w:rsidRPr="0077427C" w:rsidRDefault="00765035" w:rsidP="00D63209">
            <w:pPr>
              <w:jc w:val="center"/>
              <w:rPr>
                <w:rFonts w:ascii="Times New Roman" w:hAnsi="Times New Roman"/>
                <w:b/>
                <w:iCs/>
                <w:sz w:val="26"/>
                <w:szCs w:val="26"/>
              </w:rPr>
            </w:pPr>
            <w:r w:rsidRPr="0077427C">
              <w:rPr>
                <w:rFonts w:ascii="Times New Roman" w:hAnsi="Times New Roman"/>
                <w:b/>
                <w:iCs/>
                <w:sz w:val="26"/>
                <w:szCs w:val="26"/>
              </w:rPr>
              <w:t>SUPERBONUS</w:t>
            </w:r>
          </w:p>
          <w:p w14:paraId="1BE74705" w14:textId="77777777" w:rsidR="00765035" w:rsidRPr="0077427C" w:rsidRDefault="00765035" w:rsidP="00D63209">
            <w:pPr>
              <w:jc w:val="center"/>
              <w:rPr>
                <w:rFonts w:ascii="Times New Roman" w:hAnsi="Times New Roman"/>
                <w:b/>
                <w:sz w:val="26"/>
                <w:szCs w:val="26"/>
              </w:rPr>
            </w:pPr>
            <w:r w:rsidRPr="0077427C">
              <w:rPr>
                <w:rFonts w:ascii="Times New Roman" w:hAnsi="Times New Roman"/>
                <w:b/>
                <w:sz w:val="26"/>
                <w:szCs w:val="26"/>
              </w:rPr>
              <w:t xml:space="preserve">(articolo 119 del </w:t>
            </w:r>
            <w:proofErr w:type="gramStart"/>
            <w:r w:rsidRPr="0077427C">
              <w:rPr>
                <w:rFonts w:ascii="Times New Roman" w:hAnsi="Times New Roman"/>
                <w:b/>
                <w:sz w:val="26"/>
                <w:szCs w:val="26"/>
              </w:rPr>
              <w:t>decreto legge</w:t>
            </w:r>
            <w:proofErr w:type="gramEnd"/>
            <w:r w:rsidRPr="0077427C">
              <w:rPr>
                <w:rFonts w:ascii="Times New Roman" w:hAnsi="Times New Roman"/>
                <w:b/>
                <w:sz w:val="26"/>
                <w:szCs w:val="26"/>
              </w:rPr>
              <w:t xml:space="preserve"> n.34 del 2020)</w:t>
            </w:r>
          </w:p>
        </w:tc>
      </w:tr>
      <w:tr w:rsidR="00EF3550" w:rsidRPr="0077427C" w14:paraId="1F33C514" w14:textId="77777777" w:rsidTr="00D63209">
        <w:tc>
          <w:tcPr>
            <w:tcW w:w="9628" w:type="dxa"/>
          </w:tcPr>
          <w:p w14:paraId="0E707C09" w14:textId="77777777" w:rsidR="00765035" w:rsidRPr="0077427C" w:rsidRDefault="00765035" w:rsidP="00D63209">
            <w:pPr>
              <w:rPr>
                <w:rFonts w:ascii="Times New Roman" w:hAnsi="Times New Roman"/>
                <w:sz w:val="26"/>
                <w:szCs w:val="26"/>
              </w:rPr>
            </w:pPr>
            <w:r w:rsidRPr="0077427C">
              <w:rPr>
                <w:rFonts w:ascii="Times New Roman" w:hAnsi="Times New Roman"/>
                <w:sz w:val="26"/>
                <w:szCs w:val="26"/>
              </w:rPr>
              <w:t>Detrazione pari al 110 per cento delle spese relative a specifici interventi di efficienza energetica (anche attraverso interventi di demolizione e ricostruzione) e di misure antisismiche sugli edifici (anche per la realizzazione di sistemi di monitoraggio strutturale continuo a fini antisismici). La detrazione è ripartita dagli aventi diritto in quattro quote annuali di pari importo per la parte di spesa sostenuta dal 1° gennaio 2022 e, a partire dal periodo d’imposta 2024 (articolo 4-</w:t>
            </w:r>
            <w:r w:rsidRPr="0077427C">
              <w:rPr>
                <w:rFonts w:ascii="Times New Roman" w:hAnsi="Times New Roman"/>
                <w:i/>
                <w:sz w:val="26"/>
                <w:szCs w:val="26"/>
              </w:rPr>
              <w:t>bis</w:t>
            </w:r>
            <w:r w:rsidRPr="0077427C">
              <w:rPr>
                <w:rFonts w:ascii="Times New Roman" w:hAnsi="Times New Roman"/>
                <w:sz w:val="26"/>
                <w:szCs w:val="26"/>
              </w:rPr>
              <w:t xml:space="preserve"> del </w:t>
            </w:r>
            <w:proofErr w:type="gramStart"/>
            <w:r w:rsidRPr="0077427C">
              <w:rPr>
                <w:rFonts w:ascii="Times New Roman" w:hAnsi="Times New Roman"/>
                <w:sz w:val="26"/>
                <w:szCs w:val="26"/>
              </w:rPr>
              <w:t>decreto legge</w:t>
            </w:r>
            <w:proofErr w:type="gramEnd"/>
            <w:r w:rsidRPr="0077427C">
              <w:rPr>
                <w:rFonts w:ascii="Times New Roman" w:hAnsi="Times New Roman"/>
                <w:sz w:val="26"/>
                <w:szCs w:val="26"/>
              </w:rPr>
              <w:t xml:space="preserve"> 39 del 2024), in dieci quote annuali di pari importo per le spese sostenute direttamente, salvo il caso di crediti fiscali ceduti per il quale rimane la ripartizione in quattro anni. Successivamente l’aliquota di detrazione è stata stabilita nella misura del 90 per cento per le spese sostenute fino al 31 dicembre 2023, nella misura ridotta al 70 per cento per le spese sostenute nel 2024 e in quella ulteriormente ridotta al 65 per cento per le spese sostenute fino al 31 dicembre 2025. La legge di bilancio 2025 (articolo 1, comma 56) ha stabilito che la detrazione del 65 per cento prevista per le spese sostenute nell’anno 2025 spetta esclusivamente per gli interventi già avviati ovvero per i quali, alla data del 15 ottobre 2024, risulti: </w:t>
            </w:r>
          </w:p>
          <w:p w14:paraId="0C5314C7" w14:textId="77777777" w:rsidR="00765035" w:rsidRPr="0077427C" w:rsidRDefault="00765035" w:rsidP="00765035">
            <w:pPr>
              <w:numPr>
                <w:ilvl w:val="0"/>
                <w:numId w:val="20"/>
              </w:numPr>
              <w:rPr>
                <w:rFonts w:ascii="Times New Roman" w:hAnsi="Times New Roman"/>
                <w:sz w:val="26"/>
                <w:szCs w:val="26"/>
              </w:rPr>
            </w:pPr>
            <w:r w:rsidRPr="0077427C">
              <w:rPr>
                <w:rFonts w:ascii="Times New Roman" w:hAnsi="Times New Roman"/>
                <w:sz w:val="26"/>
                <w:szCs w:val="26"/>
              </w:rPr>
              <w:t xml:space="preserve">presentata la comunicazione di inizio lavori asseverata (CILA) se gli interventi sono diversi da quelli effettuati dai condomini; </w:t>
            </w:r>
          </w:p>
          <w:p w14:paraId="6A50CFE9" w14:textId="77777777" w:rsidR="00765035" w:rsidRPr="0077427C" w:rsidRDefault="00765035" w:rsidP="00765035">
            <w:pPr>
              <w:numPr>
                <w:ilvl w:val="0"/>
                <w:numId w:val="20"/>
              </w:numPr>
              <w:rPr>
                <w:rFonts w:ascii="Times New Roman" w:hAnsi="Times New Roman"/>
                <w:sz w:val="26"/>
                <w:szCs w:val="26"/>
              </w:rPr>
            </w:pPr>
            <w:r w:rsidRPr="0077427C">
              <w:rPr>
                <w:rFonts w:ascii="Times New Roman" w:hAnsi="Times New Roman"/>
                <w:sz w:val="26"/>
                <w:szCs w:val="26"/>
              </w:rPr>
              <w:t xml:space="preserve">adottata la delibera assembleare che ha approvato l'esecuzione dei lavori e presentata la comunicazione di CILA se gli interventi sono effettuati dai condomini; </w:t>
            </w:r>
          </w:p>
          <w:p w14:paraId="394511A2" w14:textId="77777777" w:rsidR="00765035" w:rsidRPr="0077427C" w:rsidRDefault="00765035" w:rsidP="00765035">
            <w:pPr>
              <w:numPr>
                <w:ilvl w:val="0"/>
                <w:numId w:val="20"/>
              </w:numPr>
              <w:rPr>
                <w:rFonts w:ascii="Times New Roman" w:hAnsi="Times New Roman"/>
                <w:sz w:val="26"/>
                <w:szCs w:val="26"/>
              </w:rPr>
            </w:pPr>
            <w:r w:rsidRPr="0077427C">
              <w:rPr>
                <w:rFonts w:ascii="Times New Roman" w:hAnsi="Times New Roman"/>
                <w:sz w:val="26"/>
                <w:szCs w:val="26"/>
              </w:rPr>
              <w:t>presentata l'istanza per l'acquisizione del titolo abilitativo, se gli interventi comportano la demolizione e la ricostruzione degli edifici.</w:t>
            </w:r>
          </w:p>
          <w:p w14:paraId="29C25496" w14:textId="77777777" w:rsidR="00765035" w:rsidRPr="0077427C" w:rsidRDefault="00765035" w:rsidP="00D63209">
            <w:pPr>
              <w:rPr>
                <w:rFonts w:ascii="Times New Roman" w:hAnsi="Times New Roman"/>
                <w:sz w:val="26"/>
                <w:szCs w:val="26"/>
              </w:rPr>
            </w:pPr>
            <w:r w:rsidRPr="0077427C">
              <w:rPr>
                <w:rFonts w:ascii="Times New Roman" w:hAnsi="Times New Roman"/>
                <w:sz w:val="26"/>
                <w:szCs w:val="26"/>
              </w:rPr>
              <w:t>La norma riconosce, inoltre, la facoltà di ripartire in dieci quote annuali di pari importo la detrazione spettante per le spese sostenute dal 1° gennaio 2023 al 31 dicembre 2023.</w:t>
            </w:r>
          </w:p>
        </w:tc>
      </w:tr>
      <w:tr w:rsidR="00EF3550" w:rsidRPr="0077427C" w14:paraId="77FADAB5" w14:textId="77777777" w:rsidTr="00D63209">
        <w:tc>
          <w:tcPr>
            <w:tcW w:w="9628" w:type="dxa"/>
          </w:tcPr>
          <w:p w14:paraId="201C47CA" w14:textId="77777777" w:rsidR="00765035" w:rsidRPr="0077427C" w:rsidRDefault="00765035" w:rsidP="00D63209">
            <w:pPr>
              <w:jc w:val="center"/>
              <w:rPr>
                <w:rFonts w:ascii="Times New Roman" w:hAnsi="Times New Roman"/>
                <w:b/>
                <w:i/>
                <w:sz w:val="26"/>
                <w:szCs w:val="26"/>
              </w:rPr>
            </w:pPr>
            <w:r w:rsidRPr="0077427C">
              <w:rPr>
                <w:rFonts w:ascii="Times New Roman" w:hAnsi="Times New Roman"/>
                <w:b/>
                <w:i/>
                <w:sz w:val="26"/>
                <w:szCs w:val="26"/>
              </w:rPr>
              <w:t>Interventi trainanti</w:t>
            </w:r>
          </w:p>
        </w:tc>
      </w:tr>
      <w:tr w:rsidR="00EF3550" w:rsidRPr="0077427C" w14:paraId="7B59E955" w14:textId="77777777" w:rsidTr="00D63209">
        <w:tc>
          <w:tcPr>
            <w:tcW w:w="9628" w:type="dxa"/>
          </w:tcPr>
          <w:p w14:paraId="6DA55926" w14:textId="77777777" w:rsidR="00765035" w:rsidRPr="0077427C" w:rsidRDefault="00765035" w:rsidP="00D63209">
            <w:pPr>
              <w:rPr>
                <w:rFonts w:ascii="Times New Roman" w:hAnsi="Times New Roman"/>
                <w:sz w:val="26"/>
                <w:szCs w:val="26"/>
              </w:rPr>
            </w:pPr>
            <w:r w:rsidRPr="0077427C">
              <w:rPr>
                <w:rFonts w:ascii="Times New Roman" w:hAnsi="Times New Roman"/>
                <w:sz w:val="26"/>
                <w:szCs w:val="26"/>
              </w:rPr>
              <w:t>Interventi di isolamento termico sugli involucri edilizi. Si tratta di interventi di isolamento termico delle superfici opache che interessano l’involucro con incidenza maggiore del 25 per cento della superficie disperdente lorda.</w:t>
            </w:r>
          </w:p>
        </w:tc>
      </w:tr>
      <w:tr w:rsidR="00EF3550" w:rsidRPr="0077427C" w14:paraId="56459AB0" w14:textId="77777777" w:rsidTr="00D63209">
        <w:tc>
          <w:tcPr>
            <w:tcW w:w="9628" w:type="dxa"/>
          </w:tcPr>
          <w:p w14:paraId="43595CB0" w14:textId="77777777" w:rsidR="00765035" w:rsidRPr="0077427C" w:rsidRDefault="00765035" w:rsidP="00D63209">
            <w:pPr>
              <w:rPr>
                <w:rFonts w:ascii="Times New Roman" w:hAnsi="Times New Roman"/>
                <w:sz w:val="26"/>
                <w:szCs w:val="26"/>
              </w:rPr>
            </w:pPr>
            <w:r w:rsidRPr="0077427C">
              <w:rPr>
                <w:rFonts w:ascii="Times New Roman" w:hAnsi="Times New Roman"/>
                <w:sz w:val="26"/>
                <w:szCs w:val="26"/>
              </w:rPr>
              <w:t>Interventi di sostituzione degli impianti di climatizzazione invernale.</w:t>
            </w:r>
          </w:p>
        </w:tc>
      </w:tr>
      <w:tr w:rsidR="00EF3550" w:rsidRPr="0077427C" w14:paraId="4FAB694D" w14:textId="77777777" w:rsidTr="00D63209">
        <w:tc>
          <w:tcPr>
            <w:tcW w:w="9628" w:type="dxa"/>
          </w:tcPr>
          <w:p w14:paraId="474C281B" w14:textId="77777777" w:rsidR="00765035" w:rsidRPr="0077427C" w:rsidRDefault="00765035" w:rsidP="00D63209">
            <w:pPr>
              <w:rPr>
                <w:rFonts w:ascii="Times New Roman" w:hAnsi="Times New Roman"/>
                <w:sz w:val="26"/>
                <w:szCs w:val="26"/>
              </w:rPr>
            </w:pPr>
            <w:r w:rsidRPr="0077427C">
              <w:rPr>
                <w:rFonts w:ascii="Times New Roman" w:hAnsi="Times New Roman"/>
                <w:sz w:val="26"/>
                <w:szCs w:val="26"/>
              </w:rPr>
              <w:t xml:space="preserve">Interventi antisismici ovvero misure antisismiche previste dalla disciplina del </w:t>
            </w:r>
            <w:proofErr w:type="spellStart"/>
            <w:r w:rsidRPr="0077427C">
              <w:rPr>
                <w:rFonts w:ascii="Times New Roman" w:hAnsi="Times New Roman"/>
                <w:i/>
                <w:sz w:val="26"/>
                <w:szCs w:val="26"/>
              </w:rPr>
              <w:t>sismabonus</w:t>
            </w:r>
            <w:proofErr w:type="spellEnd"/>
            <w:r w:rsidRPr="0077427C">
              <w:rPr>
                <w:rFonts w:ascii="Times New Roman" w:hAnsi="Times New Roman"/>
                <w:sz w:val="26"/>
                <w:szCs w:val="26"/>
              </w:rPr>
              <w:t>.</w:t>
            </w:r>
          </w:p>
        </w:tc>
      </w:tr>
      <w:tr w:rsidR="00EF3550" w:rsidRPr="0077427C" w14:paraId="0447348E" w14:textId="77777777" w:rsidTr="00D63209">
        <w:tc>
          <w:tcPr>
            <w:tcW w:w="9628" w:type="dxa"/>
          </w:tcPr>
          <w:p w14:paraId="7DF39279" w14:textId="77777777" w:rsidR="00765035" w:rsidRPr="0077427C" w:rsidRDefault="00765035" w:rsidP="00D63209">
            <w:pPr>
              <w:jc w:val="center"/>
              <w:rPr>
                <w:rFonts w:ascii="Times New Roman" w:hAnsi="Times New Roman"/>
                <w:sz w:val="26"/>
                <w:szCs w:val="26"/>
              </w:rPr>
            </w:pPr>
            <w:r w:rsidRPr="0077427C">
              <w:rPr>
                <w:rFonts w:ascii="Times New Roman" w:hAnsi="Times New Roman"/>
                <w:b/>
                <w:i/>
                <w:sz w:val="26"/>
                <w:szCs w:val="26"/>
              </w:rPr>
              <w:t>Interventi trainati</w:t>
            </w:r>
            <w:r w:rsidRPr="0077427C">
              <w:rPr>
                <w:rFonts w:ascii="Times New Roman" w:hAnsi="Times New Roman"/>
                <w:sz w:val="26"/>
                <w:szCs w:val="26"/>
              </w:rPr>
              <w:t xml:space="preserve"> </w:t>
            </w:r>
            <w:r w:rsidRPr="0077427C">
              <w:rPr>
                <w:rFonts w:ascii="Times New Roman" w:hAnsi="Times New Roman"/>
                <w:sz w:val="26"/>
                <w:szCs w:val="26"/>
              </w:rPr>
              <w:br/>
              <w:t>(</w:t>
            </w:r>
            <w:r w:rsidRPr="0077427C">
              <w:rPr>
                <w:rFonts w:ascii="Times New Roman" w:hAnsi="Times New Roman"/>
                <w:i/>
                <w:sz w:val="26"/>
                <w:szCs w:val="26"/>
              </w:rPr>
              <w:t>da eseguire congiuntamente ad almeno uno degli interventi trainanti</w:t>
            </w:r>
            <w:r w:rsidRPr="0077427C">
              <w:rPr>
                <w:rFonts w:ascii="Times New Roman" w:hAnsi="Times New Roman"/>
                <w:sz w:val="26"/>
                <w:szCs w:val="26"/>
              </w:rPr>
              <w:t>)</w:t>
            </w:r>
          </w:p>
        </w:tc>
      </w:tr>
      <w:tr w:rsidR="00EF3550" w:rsidRPr="0077427C" w14:paraId="3BB8B1B1" w14:textId="77777777" w:rsidTr="00D63209">
        <w:tc>
          <w:tcPr>
            <w:tcW w:w="9628" w:type="dxa"/>
          </w:tcPr>
          <w:p w14:paraId="3AB7E428" w14:textId="64094556" w:rsidR="00765035" w:rsidRPr="0077427C" w:rsidRDefault="00765035" w:rsidP="00D63209">
            <w:pPr>
              <w:rPr>
                <w:rFonts w:ascii="Times New Roman" w:hAnsi="Times New Roman"/>
                <w:sz w:val="26"/>
                <w:szCs w:val="26"/>
              </w:rPr>
            </w:pPr>
            <w:r w:rsidRPr="0077427C">
              <w:rPr>
                <w:rFonts w:ascii="Times New Roman" w:hAnsi="Times New Roman"/>
                <w:sz w:val="26"/>
                <w:szCs w:val="26"/>
              </w:rPr>
              <w:t>Eliminazione delle barriere architettoniche, aventi ad oggetto ascensori e montacarichi, nonché di realizzazione di ogni strumento che, attraverso la comunicazione, la robotica e ogni altro mezzo di tecnologia più avanzata, sia adatto a favorire la mobilità interna ed esterna all’abitazione per le persone portatrici di handicap in situazione di gravità (previsti dall’articolo 16-</w:t>
            </w:r>
            <w:r w:rsidRPr="0077427C">
              <w:rPr>
                <w:rFonts w:ascii="Times New Roman" w:hAnsi="Times New Roman"/>
                <w:i/>
                <w:sz w:val="26"/>
                <w:szCs w:val="26"/>
              </w:rPr>
              <w:t>bis</w:t>
            </w:r>
            <w:r w:rsidRPr="0077427C">
              <w:rPr>
                <w:rFonts w:ascii="Times New Roman" w:hAnsi="Times New Roman"/>
                <w:sz w:val="26"/>
                <w:szCs w:val="26"/>
              </w:rPr>
              <w:t xml:space="preserve">, comma 1, lettera </w:t>
            </w:r>
            <w:r w:rsidRPr="0077427C">
              <w:rPr>
                <w:rFonts w:ascii="Times New Roman" w:hAnsi="Times New Roman"/>
                <w:i/>
                <w:sz w:val="26"/>
                <w:szCs w:val="26"/>
              </w:rPr>
              <w:t>e</w:t>
            </w:r>
            <w:r w:rsidRPr="0077427C">
              <w:rPr>
                <w:rFonts w:ascii="Times New Roman" w:hAnsi="Times New Roman"/>
                <w:sz w:val="26"/>
                <w:szCs w:val="26"/>
              </w:rPr>
              <w:t>), del D</w:t>
            </w:r>
            <w:r w:rsidR="00DD4058" w:rsidRPr="0077427C">
              <w:rPr>
                <w:rFonts w:ascii="Times New Roman" w:hAnsi="Times New Roman"/>
                <w:sz w:val="26"/>
                <w:szCs w:val="26"/>
              </w:rPr>
              <w:t>.P.R. n.</w:t>
            </w:r>
            <w:r w:rsidRPr="0077427C">
              <w:rPr>
                <w:rFonts w:ascii="Times New Roman" w:hAnsi="Times New Roman"/>
                <w:sz w:val="26"/>
                <w:szCs w:val="26"/>
              </w:rPr>
              <w:t xml:space="preserve"> 917</w:t>
            </w:r>
            <w:r w:rsidR="00DD4058" w:rsidRPr="0077427C">
              <w:rPr>
                <w:rFonts w:ascii="Times New Roman" w:hAnsi="Times New Roman"/>
                <w:sz w:val="26"/>
                <w:szCs w:val="26"/>
              </w:rPr>
              <w:t xml:space="preserve"> del </w:t>
            </w:r>
            <w:r w:rsidRPr="0077427C">
              <w:rPr>
                <w:rFonts w:ascii="Times New Roman" w:hAnsi="Times New Roman"/>
                <w:sz w:val="26"/>
                <w:szCs w:val="26"/>
              </w:rPr>
              <w:t>1986) anche ove effettuati in favore di persone di età superiore a sessantacinque anni.</w:t>
            </w:r>
          </w:p>
        </w:tc>
      </w:tr>
      <w:tr w:rsidR="00EF3550" w:rsidRPr="0077427C" w14:paraId="1C7E64B4" w14:textId="77777777" w:rsidTr="00D63209">
        <w:tc>
          <w:tcPr>
            <w:tcW w:w="9628" w:type="dxa"/>
          </w:tcPr>
          <w:p w14:paraId="3785A101" w14:textId="77777777" w:rsidR="00765035" w:rsidRPr="0077427C" w:rsidRDefault="00765035" w:rsidP="00D63209">
            <w:pPr>
              <w:rPr>
                <w:rFonts w:ascii="Times New Roman" w:hAnsi="Times New Roman"/>
                <w:sz w:val="26"/>
                <w:szCs w:val="26"/>
              </w:rPr>
            </w:pPr>
            <w:r w:rsidRPr="0077427C">
              <w:rPr>
                <w:rFonts w:ascii="Times New Roman" w:hAnsi="Times New Roman"/>
                <w:sz w:val="26"/>
                <w:szCs w:val="26"/>
              </w:rPr>
              <w:t xml:space="preserve">Interventi di efficientamento energetico previsti dall’articolo 14 del </w:t>
            </w:r>
            <w:proofErr w:type="gramStart"/>
            <w:r w:rsidRPr="0077427C">
              <w:rPr>
                <w:rFonts w:ascii="Times New Roman" w:hAnsi="Times New Roman"/>
                <w:sz w:val="26"/>
                <w:szCs w:val="26"/>
              </w:rPr>
              <w:t>decreto legge</w:t>
            </w:r>
            <w:proofErr w:type="gramEnd"/>
            <w:r w:rsidRPr="0077427C">
              <w:rPr>
                <w:rFonts w:ascii="Times New Roman" w:hAnsi="Times New Roman"/>
                <w:sz w:val="26"/>
                <w:szCs w:val="26"/>
              </w:rPr>
              <w:t xml:space="preserve"> n. 63 del 2013.</w:t>
            </w:r>
          </w:p>
        </w:tc>
      </w:tr>
      <w:tr w:rsidR="00EF3550" w:rsidRPr="0077427C" w14:paraId="296EFC75" w14:textId="77777777" w:rsidTr="00D63209">
        <w:tc>
          <w:tcPr>
            <w:tcW w:w="9628" w:type="dxa"/>
          </w:tcPr>
          <w:p w14:paraId="37EA0FDA" w14:textId="77777777" w:rsidR="00765035" w:rsidRPr="0077427C" w:rsidRDefault="00765035" w:rsidP="00D63209">
            <w:pPr>
              <w:rPr>
                <w:rFonts w:ascii="Times New Roman" w:hAnsi="Times New Roman"/>
                <w:sz w:val="26"/>
                <w:szCs w:val="26"/>
              </w:rPr>
            </w:pPr>
            <w:r w:rsidRPr="0077427C">
              <w:rPr>
                <w:rFonts w:ascii="Times New Roman" w:hAnsi="Times New Roman"/>
                <w:sz w:val="26"/>
                <w:szCs w:val="26"/>
              </w:rPr>
              <w:t>Installazione di impianti solari fotovoltaici se realizzata da organizzazioni non lucrative di utilità sociale, dalle organizzazioni di volontariato e dalle associazioni di promozione sociale iscritte nel registro nazionale e nei registri regionali e delle province autonome di Trento e di Bolzano, realizzati in aree o strutture non pertinenziali, anche di proprietà di terzi, diversi dagli immobili ove sono realizzati gli interventi trainanti, sempre che questi ultimi siano situati all'interno di centri storici soggetti a vincoli.</w:t>
            </w:r>
          </w:p>
        </w:tc>
      </w:tr>
      <w:tr w:rsidR="00EF3550" w:rsidRPr="0077427C" w14:paraId="7105587D" w14:textId="77777777" w:rsidTr="00D63209">
        <w:tc>
          <w:tcPr>
            <w:tcW w:w="9628" w:type="dxa"/>
          </w:tcPr>
          <w:p w14:paraId="21D7DB50" w14:textId="77777777" w:rsidR="00765035" w:rsidRPr="0077427C" w:rsidRDefault="00765035" w:rsidP="00D63209">
            <w:pPr>
              <w:rPr>
                <w:rFonts w:ascii="Times New Roman" w:hAnsi="Times New Roman"/>
                <w:sz w:val="26"/>
                <w:szCs w:val="26"/>
              </w:rPr>
            </w:pPr>
            <w:r w:rsidRPr="0077427C">
              <w:rPr>
                <w:rFonts w:ascii="Times New Roman" w:hAnsi="Times New Roman"/>
                <w:sz w:val="26"/>
                <w:szCs w:val="26"/>
              </w:rPr>
              <w:t>Installazione di impianti solari fotovoltaici connessi alla rete elettrica su edifici o su strutture pertinenziali agli edifici.</w:t>
            </w:r>
          </w:p>
        </w:tc>
      </w:tr>
      <w:tr w:rsidR="00EF3550" w:rsidRPr="0077427C" w14:paraId="7E6A0FE3" w14:textId="77777777" w:rsidTr="00D63209">
        <w:tc>
          <w:tcPr>
            <w:tcW w:w="9628" w:type="dxa"/>
          </w:tcPr>
          <w:p w14:paraId="752097BC" w14:textId="77777777" w:rsidR="00765035" w:rsidRPr="0077427C" w:rsidRDefault="00765035" w:rsidP="00D63209">
            <w:pPr>
              <w:rPr>
                <w:rFonts w:ascii="Times New Roman" w:hAnsi="Times New Roman"/>
                <w:sz w:val="26"/>
                <w:szCs w:val="26"/>
              </w:rPr>
            </w:pPr>
            <w:r w:rsidRPr="0077427C">
              <w:rPr>
                <w:rFonts w:ascii="Times New Roman" w:hAnsi="Times New Roman"/>
                <w:sz w:val="26"/>
                <w:szCs w:val="26"/>
              </w:rPr>
              <w:t>Installazione di sistemi di accumulo integrati, contestuale o successiva all’istallazione degli impianti solari fotovoltaici agevolati.</w:t>
            </w:r>
          </w:p>
        </w:tc>
      </w:tr>
      <w:tr w:rsidR="00672735" w:rsidRPr="0077427C" w14:paraId="35EF2413" w14:textId="77777777" w:rsidTr="00D63209">
        <w:tc>
          <w:tcPr>
            <w:tcW w:w="9628" w:type="dxa"/>
          </w:tcPr>
          <w:p w14:paraId="45F07CC3" w14:textId="77777777" w:rsidR="00765035" w:rsidRPr="0077427C" w:rsidRDefault="00765035" w:rsidP="00D63209">
            <w:pPr>
              <w:rPr>
                <w:rFonts w:ascii="Times New Roman" w:hAnsi="Times New Roman"/>
                <w:sz w:val="26"/>
                <w:szCs w:val="26"/>
              </w:rPr>
            </w:pPr>
            <w:r w:rsidRPr="0077427C">
              <w:rPr>
                <w:rFonts w:ascii="Times New Roman" w:hAnsi="Times New Roman"/>
                <w:sz w:val="26"/>
                <w:szCs w:val="26"/>
              </w:rPr>
              <w:t>Installazione di infrastrutture per la ricarica di veicoli elettrici negli edifici.</w:t>
            </w:r>
          </w:p>
        </w:tc>
      </w:tr>
    </w:tbl>
    <w:p w14:paraId="3247C193" w14:textId="77777777" w:rsidR="00765035" w:rsidRPr="0077427C" w:rsidRDefault="00765035" w:rsidP="00765035">
      <w:pPr>
        <w:ind w:left="720"/>
        <w:contextualSpacing/>
        <w:rPr>
          <w:rFonts w:ascii="Times New Roman" w:hAnsi="Times New Roman"/>
          <w:sz w:val="26"/>
          <w:szCs w:val="26"/>
        </w:rPr>
      </w:pPr>
    </w:p>
    <w:p w14:paraId="27E3E8F0" w14:textId="01307EAB" w:rsidR="00317B5A" w:rsidRPr="0077427C" w:rsidRDefault="00D63209" w:rsidP="00D63209">
      <w:pPr>
        <w:rPr>
          <w:rFonts w:ascii="Times New Roman" w:hAnsi="Times New Roman"/>
          <w:sz w:val="26"/>
          <w:szCs w:val="26"/>
        </w:rPr>
      </w:pPr>
      <w:r w:rsidRPr="0077427C">
        <w:rPr>
          <w:rFonts w:ascii="Times New Roman" w:hAnsi="Times New Roman"/>
          <w:sz w:val="26"/>
          <w:szCs w:val="26"/>
        </w:rPr>
        <w:t>I</w:t>
      </w:r>
      <w:r w:rsidR="00EF3550" w:rsidRPr="0077427C">
        <w:rPr>
          <w:rFonts w:ascii="Times New Roman" w:hAnsi="Times New Roman"/>
          <w:sz w:val="26"/>
          <w:szCs w:val="26"/>
        </w:rPr>
        <w:t>l Piano nazionale integrato per l’energia e il clima (PNIEC)</w:t>
      </w:r>
      <w:r w:rsidRPr="0077427C">
        <w:rPr>
          <w:rFonts w:ascii="Times New Roman" w:hAnsi="Times New Roman"/>
          <w:sz w:val="26"/>
          <w:szCs w:val="26"/>
        </w:rPr>
        <w:t>, aggio</w:t>
      </w:r>
      <w:r w:rsidR="000A124F" w:rsidRPr="0077427C">
        <w:rPr>
          <w:rFonts w:ascii="Times New Roman" w:hAnsi="Times New Roman"/>
          <w:sz w:val="26"/>
          <w:szCs w:val="26"/>
        </w:rPr>
        <w:t>rnato nel 2024,</w:t>
      </w:r>
      <w:r w:rsidR="00EF3550" w:rsidRPr="0077427C">
        <w:rPr>
          <w:rFonts w:ascii="Times New Roman" w:hAnsi="Times New Roman"/>
          <w:sz w:val="26"/>
          <w:szCs w:val="26"/>
        </w:rPr>
        <w:t xml:space="preserve"> prevede l’attuazione di una riforma generale del sistema delle detrazioni</w:t>
      </w:r>
      <w:r w:rsidRPr="0077427C">
        <w:rPr>
          <w:rFonts w:ascii="Times New Roman" w:hAnsi="Times New Roman"/>
          <w:sz w:val="26"/>
          <w:szCs w:val="26"/>
        </w:rPr>
        <w:t xml:space="preserve"> fiscali</w:t>
      </w:r>
      <w:r w:rsidR="00EF3550" w:rsidRPr="0077427C">
        <w:rPr>
          <w:rFonts w:ascii="Times New Roman" w:hAnsi="Times New Roman"/>
          <w:sz w:val="26"/>
          <w:szCs w:val="26"/>
        </w:rPr>
        <w:t xml:space="preserve">, </w:t>
      </w:r>
      <w:r w:rsidRPr="0077427C">
        <w:rPr>
          <w:rFonts w:ascii="Times New Roman" w:hAnsi="Times New Roman"/>
          <w:sz w:val="26"/>
          <w:szCs w:val="26"/>
        </w:rPr>
        <w:t xml:space="preserve">che </w:t>
      </w:r>
      <w:r w:rsidR="00672735" w:rsidRPr="0077427C">
        <w:rPr>
          <w:rFonts w:ascii="Times New Roman" w:hAnsi="Times New Roman"/>
          <w:sz w:val="26"/>
          <w:szCs w:val="26"/>
        </w:rPr>
        <w:t xml:space="preserve">prevede una modulazione dei benefici in funzione delle </w:t>
      </w:r>
      <w:r w:rsidR="00672735" w:rsidRPr="0077427C">
        <w:rPr>
          <w:rFonts w:ascii="Times New Roman" w:hAnsi="Times New Roman"/>
          <w:i/>
          <w:sz w:val="26"/>
          <w:szCs w:val="26"/>
        </w:rPr>
        <w:t>performance</w:t>
      </w:r>
      <w:r w:rsidR="00672735" w:rsidRPr="0077427C">
        <w:rPr>
          <w:rFonts w:ascii="Times New Roman" w:hAnsi="Times New Roman"/>
          <w:sz w:val="26"/>
          <w:szCs w:val="26"/>
        </w:rPr>
        <w:t xml:space="preserve"> generali raggiunte dall’edificio, da ottenere attraverso interventi con vari livelli di priorità. La riforma dovrà avere una durata almeno decennale per rispondere agli sfidanti obiettivi previsti per il settore residenziale</w:t>
      </w:r>
      <w:r w:rsidRPr="0077427C">
        <w:rPr>
          <w:rFonts w:ascii="Times New Roman" w:hAnsi="Times New Roman"/>
          <w:sz w:val="26"/>
          <w:szCs w:val="26"/>
        </w:rPr>
        <w:t xml:space="preserve"> e</w:t>
      </w:r>
      <w:r w:rsidR="00672735" w:rsidRPr="0077427C">
        <w:rPr>
          <w:rFonts w:ascii="Times New Roman" w:hAnsi="Times New Roman"/>
          <w:sz w:val="26"/>
          <w:szCs w:val="26"/>
        </w:rPr>
        <w:t xml:space="preserve"> dovrà essere indirizzata prevalentemente alle unità immobiliari soggette all’obbligo della direttiva 1275/2024 </w:t>
      </w:r>
      <w:r w:rsidRPr="0077427C">
        <w:rPr>
          <w:rFonts w:ascii="Times New Roman" w:hAnsi="Times New Roman"/>
          <w:sz w:val="26"/>
          <w:szCs w:val="26"/>
        </w:rPr>
        <w:t>(</w:t>
      </w:r>
      <w:r w:rsidR="00672735" w:rsidRPr="0077427C">
        <w:rPr>
          <w:rFonts w:ascii="Times New Roman" w:hAnsi="Times New Roman"/>
          <w:sz w:val="26"/>
          <w:szCs w:val="26"/>
        </w:rPr>
        <w:t xml:space="preserve">cosiddetta </w:t>
      </w:r>
      <w:r w:rsidR="00672735" w:rsidRPr="0077427C">
        <w:rPr>
          <w:rFonts w:ascii="Times New Roman" w:hAnsi="Times New Roman"/>
          <w:i/>
          <w:sz w:val="26"/>
          <w:szCs w:val="26"/>
        </w:rPr>
        <w:t>Case green</w:t>
      </w:r>
      <w:r w:rsidRPr="0077427C">
        <w:rPr>
          <w:rFonts w:ascii="Times New Roman" w:hAnsi="Times New Roman"/>
          <w:sz w:val="26"/>
          <w:szCs w:val="26"/>
        </w:rPr>
        <w:t xml:space="preserve">). La riforma inoltre dovrà </w:t>
      </w:r>
      <w:r w:rsidR="00672735" w:rsidRPr="0077427C">
        <w:rPr>
          <w:rFonts w:ascii="Times New Roman" w:hAnsi="Times New Roman"/>
          <w:sz w:val="26"/>
          <w:szCs w:val="26"/>
        </w:rPr>
        <w:t>ammettere interventi sia singoli, sia di riqualificazione energetica profonda</w:t>
      </w:r>
      <w:r w:rsidRPr="0077427C">
        <w:rPr>
          <w:rFonts w:ascii="Times New Roman" w:hAnsi="Times New Roman"/>
          <w:sz w:val="26"/>
          <w:szCs w:val="26"/>
        </w:rPr>
        <w:t xml:space="preserve">, </w:t>
      </w:r>
      <w:r w:rsidR="00672735" w:rsidRPr="0077427C">
        <w:rPr>
          <w:rFonts w:ascii="Times New Roman" w:hAnsi="Times New Roman"/>
          <w:sz w:val="26"/>
          <w:szCs w:val="26"/>
        </w:rPr>
        <w:t xml:space="preserve">garantire i benefici ridotti per gli interventi singoli e, per gli interventi di riqualificazione energetica profonda, benefici crescenti in funzione della </w:t>
      </w:r>
      <w:r w:rsidR="00672735" w:rsidRPr="0077427C">
        <w:rPr>
          <w:rFonts w:ascii="Times New Roman" w:hAnsi="Times New Roman"/>
          <w:i/>
          <w:sz w:val="26"/>
          <w:szCs w:val="26"/>
        </w:rPr>
        <w:t>performance</w:t>
      </w:r>
      <w:r w:rsidR="00672735" w:rsidRPr="0077427C">
        <w:rPr>
          <w:rFonts w:ascii="Times New Roman" w:hAnsi="Times New Roman"/>
          <w:sz w:val="26"/>
          <w:szCs w:val="26"/>
        </w:rPr>
        <w:t xml:space="preserve"> energetica raggiunta, tenendo anche conto delle </w:t>
      </w:r>
      <w:r w:rsidR="00672735" w:rsidRPr="0077427C">
        <w:rPr>
          <w:rFonts w:ascii="Times New Roman" w:hAnsi="Times New Roman"/>
          <w:i/>
          <w:sz w:val="26"/>
          <w:szCs w:val="26"/>
        </w:rPr>
        <w:t>performance</w:t>
      </w:r>
      <w:r w:rsidR="00672735" w:rsidRPr="0077427C">
        <w:rPr>
          <w:rFonts w:ascii="Times New Roman" w:hAnsi="Times New Roman"/>
          <w:sz w:val="26"/>
          <w:szCs w:val="26"/>
        </w:rPr>
        <w:t xml:space="preserve"> sismiche per le aree ad alto rischio</w:t>
      </w:r>
      <w:r w:rsidRPr="0077427C">
        <w:rPr>
          <w:rFonts w:ascii="Times New Roman" w:hAnsi="Times New Roman"/>
          <w:sz w:val="26"/>
          <w:szCs w:val="26"/>
        </w:rPr>
        <w:t>. La riforma inoltre dovrà</w:t>
      </w:r>
      <w:r w:rsidR="00672735" w:rsidRPr="0077427C">
        <w:rPr>
          <w:rFonts w:ascii="Times New Roman" w:hAnsi="Times New Roman"/>
          <w:sz w:val="26"/>
          <w:szCs w:val="26"/>
        </w:rPr>
        <w:t xml:space="preserve"> garantire costi massimi specifici omnicomprensivi sia per singoli interventi, sia per interventi di riqualificazione energetica profonda, di semplice verifica e univoci per l’intero territorio nazionale</w:t>
      </w:r>
      <w:r w:rsidRPr="0077427C">
        <w:rPr>
          <w:rFonts w:ascii="Times New Roman" w:hAnsi="Times New Roman"/>
          <w:sz w:val="26"/>
          <w:szCs w:val="26"/>
        </w:rPr>
        <w:t xml:space="preserve">, ed </w:t>
      </w:r>
      <w:r w:rsidR="00672735" w:rsidRPr="0077427C">
        <w:rPr>
          <w:rFonts w:ascii="Times New Roman" w:hAnsi="Times New Roman"/>
          <w:sz w:val="26"/>
          <w:szCs w:val="26"/>
        </w:rPr>
        <w:t xml:space="preserve">essere affiancata da strumenti finanziari di supporto, ad esempio finanziamenti a tasso agevolato, anche a copertura totale dei costi di investimento, con condizioni di favore per le persone in condizioni di povertà energetica. </w:t>
      </w:r>
    </w:p>
    <w:p w14:paraId="0895C4EC" w14:textId="77777777" w:rsidR="00672735" w:rsidRPr="0077427C" w:rsidRDefault="00672735" w:rsidP="0020115B">
      <w:pPr>
        <w:rPr>
          <w:rFonts w:ascii="Times New Roman" w:hAnsi="Times New Roman"/>
          <w:sz w:val="26"/>
          <w:szCs w:val="26"/>
        </w:rPr>
      </w:pPr>
    </w:p>
    <w:p w14:paraId="6C48ACB2" w14:textId="77777777" w:rsidR="00D63209" w:rsidRPr="0077427C" w:rsidRDefault="00D63209">
      <w:pPr>
        <w:spacing w:after="160" w:line="259" w:lineRule="auto"/>
        <w:ind w:firstLine="0"/>
        <w:jc w:val="left"/>
        <w:rPr>
          <w:rFonts w:ascii="Times New Roman" w:hAnsi="Times New Roman"/>
          <w:b/>
          <w:sz w:val="26"/>
          <w:szCs w:val="26"/>
        </w:rPr>
      </w:pPr>
      <w:r w:rsidRPr="0077427C">
        <w:rPr>
          <w:rFonts w:ascii="Times New Roman" w:hAnsi="Times New Roman"/>
          <w:b/>
          <w:sz w:val="26"/>
          <w:szCs w:val="26"/>
        </w:rPr>
        <w:br w:type="page"/>
      </w:r>
    </w:p>
    <w:p w14:paraId="6D6C155A" w14:textId="7130BA04" w:rsidR="00317B5A" w:rsidRPr="0077427C" w:rsidRDefault="00317B5A" w:rsidP="00102E5B">
      <w:pPr>
        <w:pStyle w:val="Titolo2"/>
      </w:pPr>
      <w:bookmarkStart w:id="5" w:name="_Toc190697362"/>
      <w:r w:rsidRPr="0077427C">
        <w:t>2.2</w:t>
      </w:r>
      <w:r w:rsidRPr="0077427C">
        <w:tab/>
        <w:t xml:space="preserve"> L’efficienza energetica degli edifici</w:t>
      </w:r>
      <w:bookmarkEnd w:id="5"/>
    </w:p>
    <w:p w14:paraId="430108A7" w14:textId="77777777" w:rsidR="00765035" w:rsidRPr="0077427C" w:rsidRDefault="00765035" w:rsidP="00765035">
      <w:pPr>
        <w:rPr>
          <w:rFonts w:ascii="Times New Roman" w:hAnsi="Times New Roman"/>
          <w:sz w:val="26"/>
          <w:szCs w:val="26"/>
        </w:rPr>
      </w:pPr>
      <w:r w:rsidRPr="0077427C">
        <w:rPr>
          <w:rFonts w:ascii="Times New Roman" w:hAnsi="Times New Roman"/>
          <w:sz w:val="26"/>
          <w:szCs w:val="26"/>
        </w:rPr>
        <w:t>L’edilizia è un settore chiamato a concorrere significativamente al raggiungimento degli obiettivi energetico-ambientali fissati a livello europeo. Secondo l’Agenzia Internazionale dell’Energia, gli edifici e il settore delle costruzioni sono responsabili insieme del 30% del consumo globale finale di energia e del 27% delle emissioni complessive. Solo nell’UE gli edifici sono responsabili del 40% del consumo finale di energia e del 36% delle emissioni di CO</w:t>
      </w:r>
      <w:r w:rsidRPr="0077427C">
        <w:rPr>
          <w:rFonts w:ascii="Times New Roman" w:hAnsi="Times New Roman"/>
          <w:sz w:val="20"/>
          <w:szCs w:val="26"/>
        </w:rPr>
        <w:t>2</w:t>
      </w:r>
      <w:r w:rsidRPr="0077427C">
        <w:rPr>
          <w:rFonts w:ascii="Times New Roman" w:hAnsi="Times New Roman"/>
          <w:sz w:val="26"/>
          <w:szCs w:val="26"/>
        </w:rPr>
        <w:t>, mentre il 75% degli edifici è considerato energeticamente non efficiente.</w:t>
      </w:r>
    </w:p>
    <w:p w14:paraId="19B5D852" w14:textId="77777777" w:rsidR="00765035" w:rsidRPr="0077427C" w:rsidRDefault="00765035" w:rsidP="00765035">
      <w:pPr>
        <w:rPr>
          <w:rFonts w:ascii="Times New Roman" w:hAnsi="Times New Roman"/>
          <w:sz w:val="26"/>
          <w:szCs w:val="26"/>
        </w:rPr>
      </w:pPr>
      <w:r w:rsidRPr="0077427C">
        <w:rPr>
          <w:rFonts w:ascii="Times New Roman" w:hAnsi="Times New Roman"/>
          <w:sz w:val="26"/>
          <w:szCs w:val="26"/>
        </w:rPr>
        <w:t>In Italia, secondo i dati contenuti nel Piano nazionale integrato energia e clima-PNIEC 2024 relativi al patrimonio edilizio certificato sulla base degli APE (attestati di prestazione energetica) emessi tra il 2015 e il 2022, il settore civile è responsabile attualmente di circa il 44% dei consumi finali di energia nazionali. Circa il 55% del settore residenziale ricade nelle classi energetiche meno efficienti (F e G). Il settore non residenziale, invece, è mediamente più efficiente, con un totale di casi nelle classi energetiche E, F e G inferiore al 40%.</w:t>
      </w:r>
    </w:p>
    <w:p w14:paraId="7038799C" w14:textId="2102C7F0" w:rsidR="00765035" w:rsidRPr="0077427C" w:rsidRDefault="00765035" w:rsidP="00765035">
      <w:pPr>
        <w:rPr>
          <w:rFonts w:ascii="Times New Roman" w:hAnsi="Times New Roman"/>
          <w:sz w:val="26"/>
          <w:szCs w:val="26"/>
        </w:rPr>
      </w:pPr>
      <w:r w:rsidRPr="0077427C">
        <w:rPr>
          <w:rFonts w:ascii="Times New Roman" w:hAnsi="Times New Roman"/>
          <w:sz w:val="26"/>
          <w:szCs w:val="26"/>
        </w:rPr>
        <w:t>Le norme volte a migliorare l’efficienza energetica nell’edilizia, che concorrono al conseguimento dell’obiettivo nazionale di risparmio energetico concordato in sede europ</w:t>
      </w:r>
      <w:r w:rsidR="00D63209" w:rsidRPr="0077427C">
        <w:rPr>
          <w:rFonts w:ascii="Times New Roman" w:hAnsi="Times New Roman"/>
          <w:sz w:val="26"/>
          <w:szCs w:val="26"/>
        </w:rPr>
        <w:t>e</w:t>
      </w:r>
      <w:r w:rsidRPr="0077427C">
        <w:rPr>
          <w:rFonts w:ascii="Times New Roman" w:hAnsi="Times New Roman"/>
          <w:sz w:val="26"/>
          <w:szCs w:val="26"/>
        </w:rPr>
        <w:t xml:space="preserve">a, sono contenute, in larga misura, nel d.lgs. 19 agosto 2005, n. 192, e nel d.lgs. 4 luglio 2014, n. 102. I citati interventi legislativi sono stati successivamente modificati e integrati dal </w:t>
      </w:r>
      <w:hyperlink r:id="rId9" w:history="1">
        <w:r w:rsidRPr="0077427C">
          <w:rPr>
            <w:rFonts w:ascii="Times New Roman" w:hAnsi="Times New Roman"/>
            <w:bCs/>
            <w:sz w:val="26"/>
            <w:szCs w:val="26"/>
          </w:rPr>
          <w:t>decreto legislativo n. 73 del 14 luglio 2020</w:t>
        </w:r>
      </w:hyperlink>
      <w:r w:rsidRPr="0077427C">
        <w:rPr>
          <w:rFonts w:ascii="Times New Roman" w:hAnsi="Times New Roman"/>
          <w:sz w:val="26"/>
          <w:szCs w:val="26"/>
        </w:rPr>
        <w:t xml:space="preserve">, che ha recepito nell’ordinamento interno la </w:t>
      </w:r>
      <w:r w:rsidRPr="0077427C">
        <w:rPr>
          <w:rFonts w:ascii="Times New Roman" w:hAnsi="Times New Roman"/>
          <w:bCs/>
          <w:sz w:val="26"/>
          <w:szCs w:val="26"/>
        </w:rPr>
        <w:t>direttiva UE 2018/2002</w:t>
      </w:r>
      <w:r w:rsidRPr="0077427C">
        <w:rPr>
          <w:rFonts w:ascii="Times New Roman" w:hAnsi="Times New Roman"/>
          <w:sz w:val="26"/>
          <w:szCs w:val="26"/>
        </w:rPr>
        <w:t xml:space="preserve"> (direttiva EED II) e dal </w:t>
      </w:r>
      <w:hyperlink r:id="rId10" w:history="1">
        <w:r w:rsidRPr="0077427C">
          <w:rPr>
            <w:rFonts w:ascii="Times New Roman" w:hAnsi="Times New Roman"/>
            <w:bCs/>
            <w:sz w:val="26"/>
            <w:szCs w:val="26"/>
          </w:rPr>
          <w:t>decreto legislativo n. 48 del 10 giugno 2020</w:t>
        </w:r>
      </w:hyperlink>
      <w:r w:rsidRPr="0077427C">
        <w:rPr>
          <w:rFonts w:ascii="Times New Roman" w:hAnsi="Times New Roman"/>
          <w:sz w:val="26"/>
          <w:szCs w:val="26"/>
        </w:rPr>
        <w:t xml:space="preserve"> che ha recepito la </w:t>
      </w:r>
      <w:r w:rsidRPr="0077427C">
        <w:rPr>
          <w:rFonts w:ascii="Times New Roman" w:hAnsi="Times New Roman"/>
          <w:bCs/>
          <w:sz w:val="26"/>
          <w:szCs w:val="26"/>
        </w:rPr>
        <w:t>direttiva (UE) 2018/844</w:t>
      </w:r>
      <w:r w:rsidRPr="0077427C">
        <w:rPr>
          <w:rFonts w:ascii="Times New Roman" w:hAnsi="Times New Roman"/>
          <w:sz w:val="26"/>
          <w:szCs w:val="26"/>
        </w:rPr>
        <w:t xml:space="preserve"> sulla </w:t>
      </w:r>
      <w:r w:rsidRPr="0077427C">
        <w:rPr>
          <w:rFonts w:ascii="Times New Roman" w:hAnsi="Times New Roman"/>
          <w:bCs/>
          <w:sz w:val="26"/>
          <w:szCs w:val="26"/>
        </w:rPr>
        <w:t xml:space="preserve">prestazione energetica nell’edilizia </w:t>
      </w:r>
      <w:r w:rsidRPr="0077427C">
        <w:rPr>
          <w:rFonts w:ascii="Times New Roman" w:hAnsi="Times New Roman"/>
          <w:sz w:val="26"/>
          <w:szCs w:val="26"/>
        </w:rPr>
        <w:t>(</w:t>
      </w:r>
      <w:r w:rsidRPr="0077427C">
        <w:rPr>
          <w:rFonts w:ascii="Times New Roman" w:hAnsi="Times New Roman"/>
          <w:i/>
          <w:iCs/>
          <w:sz w:val="26"/>
          <w:szCs w:val="26"/>
        </w:rPr>
        <w:t>Energy Performance of Buildings Directive</w:t>
      </w:r>
      <w:r w:rsidRPr="0077427C">
        <w:rPr>
          <w:rFonts w:ascii="Times New Roman" w:hAnsi="Times New Roman"/>
          <w:sz w:val="26"/>
          <w:szCs w:val="26"/>
        </w:rPr>
        <w:t xml:space="preserve"> </w:t>
      </w:r>
      <w:r w:rsidR="00DD4058" w:rsidRPr="0077427C">
        <w:rPr>
          <w:rFonts w:ascii="Times New Roman" w:hAnsi="Times New Roman"/>
          <w:sz w:val="26"/>
          <w:szCs w:val="26"/>
        </w:rPr>
        <w:t xml:space="preserve">- </w:t>
      </w:r>
      <w:r w:rsidRPr="0077427C">
        <w:rPr>
          <w:rFonts w:ascii="Times New Roman" w:hAnsi="Times New Roman"/>
          <w:sz w:val="26"/>
          <w:szCs w:val="26"/>
        </w:rPr>
        <w:t xml:space="preserve">direttiva EPBD II, modificativa della direttiva UE 2010/31). Le direttive EED II e EPBD II fanno parte integrante della </w:t>
      </w:r>
      <w:hyperlink r:id="rId11" w:history="1">
        <w:r w:rsidRPr="0077427C">
          <w:rPr>
            <w:rFonts w:ascii="Times New Roman" w:hAnsi="Times New Roman"/>
            <w:bCs/>
            <w:i/>
            <w:iCs/>
            <w:sz w:val="26"/>
            <w:szCs w:val="26"/>
          </w:rPr>
          <w:t>governance</w:t>
        </w:r>
        <w:r w:rsidRPr="0077427C">
          <w:rPr>
            <w:rFonts w:ascii="Times New Roman" w:hAnsi="Times New Roman"/>
            <w:bCs/>
            <w:sz w:val="26"/>
            <w:szCs w:val="26"/>
          </w:rPr>
          <w:t xml:space="preserve"> europea dell’energia</w:t>
        </w:r>
      </w:hyperlink>
      <w:r w:rsidRPr="0077427C">
        <w:rPr>
          <w:rFonts w:ascii="Times New Roman" w:hAnsi="Times New Roman"/>
          <w:sz w:val="26"/>
          <w:szCs w:val="26"/>
        </w:rPr>
        <w:t>, che</w:t>
      </w:r>
      <w:r w:rsidRPr="0077427C">
        <w:rPr>
          <w:rFonts w:ascii="Times New Roman" w:hAnsi="Times New Roman"/>
          <w:bCs/>
          <w:sz w:val="26"/>
          <w:szCs w:val="26"/>
        </w:rPr>
        <w:t xml:space="preserve"> </w:t>
      </w:r>
      <w:r w:rsidRPr="0077427C">
        <w:rPr>
          <w:rFonts w:ascii="Times New Roman" w:hAnsi="Times New Roman"/>
          <w:sz w:val="26"/>
          <w:szCs w:val="26"/>
        </w:rPr>
        <w:t>sancisce il principio dell’”</w:t>
      </w:r>
      <w:r w:rsidRPr="0077427C">
        <w:rPr>
          <w:rFonts w:ascii="Times New Roman" w:hAnsi="Times New Roman"/>
          <w:bCs/>
          <w:i/>
          <w:iCs/>
          <w:sz w:val="26"/>
          <w:szCs w:val="26"/>
        </w:rPr>
        <w:t xml:space="preserve">energy </w:t>
      </w:r>
      <w:proofErr w:type="spellStart"/>
      <w:r w:rsidRPr="0077427C">
        <w:rPr>
          <w:rFonts w:ascii="Times New Roman" w:hAnsi="Times New Roman"/>
          <w:bCs/>
          <w:i/>
          <w:iCs/>
          <w:sz w:val="26"/>
          <w:szCs w:val="26"/>
        </w:rPr>
        <w:t>efficiency</w:t>
      </w:r>
      <w:proofErr w:type="spellEnd"/>
      <w:r w:rsidRPr="0077427C">
        <w:rPr>
          <w:rFonts w:ascii="Times New Roman" w:hAnsi="Times New Roman"/>
          <w:bCs/>
          <w:i/>
          <w:iCs/>
          <w:sz w:val="26"/>
          <w:szCs w:val="26"/>
        </w:rPr>
        <w:t xml:space="preserve"> first</w:t>
      </w:r>
      <w:r w:rsidRPr="0077427C">
        <w:rPr>
          <w:rFonts w:ascii="Times New Roman" w:hAnsi="Times New Roman"/>
          <w:sz w:val="26"/>
          <w:szCs w:val="26"/>
        </w:rPr>
        <w:t>”.</w:t>
      </w:r>
    </w:p>
    <w:p w14:paraId="419E3BE0" w14:textId="77777777" w:rsidR="00765035" w:rsidRPr="0077427C" w:rsidRDefault="00765035" w:rsidP="00765035">
      <w:pPr>
        <w:rPr>
          <w:rFonts w:ascii="Times New Roman" w:hAnsi="Times New Roman"/>
          <w:sz w:val="26"/>
          <w:szCs w:val="26"/>
        </w:rPr>
      </w:pPr>
      <w:r w:rsidRPr="0077427C">
        <w:rPr>
          <w:rFonts w:ascii="Times New Roman" w:hAnsi="Times New Roman"/>
          <w:sz w:val="26"/>
          <w:szCs w:val="26"/>
        </w:rPr>
        <w:t>Il d.lgs. n. 192/2005 prevede, all’articolo 3-</w:t>
      </w:r>
      <w:r w:rsidRPr="0077427C">
        <w:rPr>
          <w:rFonts w:ascii="Times New Roman" w:hAnsi="Times New Roman"/>
          <w:i/>
          <w:sz w:val="26"/>
          <w:szCs w:val="26"/>
        </w:rPr>
        <w:t>bis</w:t>
      </w:r>
      <w:r w:rsidRPr="0077427C">
        <w:rPr>
          <w:rFonts w:ascii="Times New Roman" w:hAnsi="Times New Roman"/>
          <w:sz w:val="26"/>
          <w:szCs w:val="26"/>
        </w:rPr>
        <w:t xml:space="preserve">, l’adozione di una Strategia di lungo termine per sostenere la ristrutturazione del parco nazionale di edifici residenziali e non residenziali, sia pubblici che privati, al fine di ottenere un parco immobiliare decarbonizzato e ad alta efficienza energetica entro il 2050. La Strategia è stata redatta in base agli obiettivi del PNIEC 2020, a marzo 2021. </w:t>
      </w:r>
    </w:p>
    <w:p w14:paraId="6E6BD0EC" w14:textId="77777777" w:rsidR="00765035" w:rsidRPr="0077427C" w:rsidRDefault="00765035" w:rsidP="00765035">
      <w:pPr>
        <w:rPr>
          <w:rFonts w:ascii="Times New Roman" w:hAnsi="Times New Roman"/>
          <w:sz w:val="26"/>
          <w:szCs w:val="26"/>
        </w:rPr>
      </w:pPr>
      <w:r w:rsidRPr="0077427C">
        <w:rPr>
          <w:rFonts w:ascii="Times New Roman" w:hAnsi="Times New Roman"/>
          <w:sz w:val="26"/>
          <w:szCs w:val="26"/>
        </w:rPr>
        <w:t xml:space="preserve">Il PNIEC 2024 prospetta una revisione dei contenuti della Strategia per tenere conto dei nuovi più ambiziosi obiettivi delineati nella nuova </w:t>
      </w:r>
      <w:hyperlink r:id="rId12" w:history="1">
        <w:r w:rsidRPr="0077427C">
          <w:rPr>
            <w:rFonts w:ascii="Times New Roman" w:hAnsi="Times New Roman"/>
            <w:sz w:val="26"/>
            <w:szCs w:val="26"/>
          </w:rPr>
          <w:t>direttiva sull’efficienza energetica, direttiva (UE)2023/1791</w:t>
        </w:r>
      </w:hyperlink>
      <w:r w:rsidRPr="0077427C">
        <w:rPr>
          <w:rFonts w:ascii="Times New Roman" w:hAnsi="Times New Roman"/>
          <w:sz w:val="26"/>
          <w:szCs w:val="26"/>
        </w:rPr>
        <w:t xml:space="preserve">, cd. direttiva EED III, e nella nuova </w:t>
      </w:r>
      <w:hyperlink r:id="rId13" w:history="1">
        <w:r w:rsidRPr="0077427C">
          <w:rPr>
            <w:rFonts w:ascii="Times New Roman" w:hAnsi="Times New Roman"/>
            <w:sz w:val="26"/>
            <w:szCs w:val="26"/>
          </w:rPr>
          <w:t>direttiva (UE) 2024/1275</w:t>
        </w:r>
      </w:hyperlink>
      <w:r w:rsidRPr="0077427C">
        <w:rPr>
          <w:rFonts w:ascii="Times New Roman" w:hAnsi="Times New Roman"/>
          <w:sz w:val="26"/>
          <w:szCs w:val="26"/>
          <w:u w:val="single"/>
        </w:rPr>
        <w:t xml:space="preserve"> </w:t>
      </w:r>
      <w:r w:rsidRPr="0077427C">
        <w:rPr>
          <w:rFonts w:ascii="Times New Roman" w:hAnsi="Times New Roman"/>
          <w:sz w:val="26"/>
          <w:szCs w:val="26"/>
        </w:rPr>
        <w:t xml:space="preserve">sulla prestazione energetica nell’edilizia, cd. direttiva case </w:t>
      </w:r>
      <w:r w:rsidRPr="0077427C">
        <w:rPr>
          <w:rFonts w:ascii="Times New Roman" w:hAnsi="Times New Roman"/>
          <w:i/>
          <w:sz w:val="26"/>
          <w:szCs w:val="26"/>
        </w:rPr>
        <w:t>green</w:t>
      </w:r>
      <w:r w:rsidRPr="0077427C">
        <w:rPr>
          <w:rFonts w:ascii="Times New Roman" w:hAnsi="Times New Roman"/>
          <w:sz w:val="26"/>
          <w:szCs w:val="26"/>
        </w:rPr>
        <w:t>, e declinati, per l’Italia, nello stesso PNIEC 2024.</w:t>
      </w:r>
    </w:p>
    <w:p w14:paraId="393AD1B1" w14:textId="77777777" w:rsidR="00765035" w:rsidRPr="0077427C" w:rsidRDefault="00765035" w:rsidP="00765035">
      <w:pPr>
        <w:rPr>
          <w:rFonts w:ascii="Times New Roman" w:hAnsi="Times New Roman"/>
          <w:sz w:val="26"/>
          <w:szCs w:val="26"/>
        </w:rPr>
      </w:pPr>
      <w:r w:rsidRPr="0077427C">
        <w:rPr>
          <w:rFonts w:ascii="Times New Roman" w:hAnsi="Times New Roman"/>
          <w:sz w:val="26"/>
          <w:szCs w:val="26"/>
        </w:rPr>
        <w:t xml:space="preserve">La nuova </w:t>
      </w:r>
      <w:hyperlink r:id="rId14" w:history="1">
        <w:r w:rsidRPr="0077427C">
          <w:rPr>
            <w:rFonts w:ascii="Times New Roman" w:hAnsi="Times New Roman"/>
            <w:sz w:val="26"/>
            <w:szCs w:val="26"/>
          </w:rPr>
          <w:t>direttiva (UE) 2024/1275</w:t>
        </w:r>
      </w:hyperlink>
      <w:r w:rsidRPr="0077427C">
        <w:rPr>
          <w:rFonts w:ascii="Times New Roman" w:hAnsi="Times New Roman"/>
          <w:sz w:val="26"/>
          <w:szCs w:val="26"/>
        </w:rPr>
        <w:t xml:space="preserve"> </w:t>
      </w:r>
      <w:r w:rsidRPr="0077427C">
        <w:rPr>
          <w:rFonts w:ascii="Times New Roman" w:hAnsi="Times New Roman"/>
          <w:sz w:val="26"/>
          <w:szCs w:val="26"/>
          <w:shd w:val="clear" w:color="auto" w:fill="FFFFFF"/>
        </w:rPr>
        <w:t>i</w:t>
      </w:r>
      <w:r w:rsidRPr="0077427C">
        <w:rPr>
          <w:rFonts w:ascii="Times New Roman" w:hAnsi="Times New Roman"/>
          <w:sz w:val="26"/>
          <w:szCs w:val="26"/>
        </w:rPr>
        <w:t xml:space="preserve">ntroduce importanti </w:t>
      </w:r>
      <w:r w:rsidRPr="0077427C">
        <w:rPr>
          <w:rFonts w:ascii="Times New Roman" w:hAnsi="Times New Roman"/>
          <w:i/>
          <w:sz w:val="26"/>
          <w:szCs w:val="26"/>
        </w:rPr>
        <w:t>target</w:t>
      </w:r>
      <w:r w:rsidRPr="0077427C">
        <w:rPr>
          <w:rFonts w:ascii="Times New Roman" w:hAnsi="Times New Roman"/>
          <w:sz w:val="26"/>
          <w:szCs w:val="26"/>
        </w:rPr>
        <w:t xml:space="preserve"> di riqualificazione degli edifici. In particolare, prevede, per gli edifici residenziali, che ogni Stato membro adotti la propria traiettoria nazionale per ridurre il consumo medio di energia primaria dei medesimi del 16% entro il 2030 e del 20-22% entro il 2035. La direttiva dispone l’introduzione graduale di </w:t>
      </w:r>
      <w:r w:rsidRPr="0077427C">
        <w:rPr>
          <w:rFonts w:ascii="Times New Roman" w:hAnsi="Times New Roman"/>
          <w:i/>
          <w:sz w:val="26"/>
          <w:szCs w:val="26"/>
        </w:rPr>
        <w:t>standard</w:t>
      </w:r>
      <w:r w:rsidRPr="0077427C">
        <w:rPr>
          <w:rFonts w:ascii="Times New Roman" w:hAnsi="Times New Roman"/>
          <w:sz w:val="26"/>
          <w:szCs w:val="26"/>
        </w:rPr>
        <w:t xml:space="preserve"> minimi di </w:t>
      </w:r>
      <w:r w:rsidRPr="0077427C">
        <w:rPr>
          <w:rFonts w:ascii="Times New Roman" w:hAnsi="Times New Roman"/>
          <w:i/>
          <w:sz w:val="26"/>
          <w:szCs w:val="26"/>
        </w:rPr>
        <w:t>performance</w:t>
      </w:r>
      <w:r w:rsidRPr="0077427C">
        <w:rPr>
          <w:rFonts w:ascii="Times New Roman" w:hAnsi="Times New Roman"/>
          <w:sz w:val="26"/>
          <w:szCs w:val="26"/>
        </w:rPr>
        <w:t xml:space="preserve"> energetica per gli edifici non residenziali, perché sia rinnovato il 16% degli edifici con le prestazioni peggiori entro il 2030 ed il 26% entro il 2033 (articolo 9). Inoltre, si prevede l’obbligo – per le nuove costruzioni – di essere ad emissioni zero al 2030. Il conseguimento di tale obbligo è anticipato al 2028 nel caso di edifici pubblici (articolo 7).</w:t>
      </w:r>
    </w:p>
    <w:p w14:paraId="208B32C4" w14:textId="77777777" w:rsidR="00765035" w:rsidRPr="0077427C" w:rsidRDefault="00765035" w:rsidP="00765035">
      <w:pPr>
        <w:rPr>
          <w:rFonts w:ascii="Times New Roman" w:hAnsi="Times New Roman"/>
          <w:sz w:val="26"/>
          <w:szCs w:val="26"/>
        </w:rPr>
      </w:pPr>
      <w:r w:rsidRPr="0077427C">
        <w:rPr>
          <w:rFonts w:ascii="Times New Roman" w:hAnsi="Times New Roman"/>
          <w:sz w:val="26"/>
          <w:szCs w:val="26"/>
        </w:rPr>
        <w:t xml:space="preserve">La direttiva prevede l’obbligo per gli Stati membri di redigere, entro il 29 maggio 2026, un piano nazionale di ristrutturazione edilizia allo scopo di trasformare gli edifici esistenti in edifici a emissioni zero. Il Piano deve includere una tabella di marcia che comprende obiettivi nazionali al 2030, al 2040 e al 2050 per quanto riguarda il tasso annuo di ristrutturazione energetica, il consumo di energia primaria e finale del parco immobiliare nazionale con le relative riduzioni delle emissioni di gas a effetto serra, e una serie di indicatori obbligatori, tra cui l’inclusione di </w:t>
      </w:r>
      <w:bookmarkStart w:id="6" w:name="_Hlk158814010"/>
      <w:r w:rsidRPr="0077427C">
        <w:rPr>
          <w:rFonts w:ascii="Times New Roman" w:hAnsi="Times New Roman"/>
          <w:sz w:val="26"/>
          <w:szCs w:val="26"/>
        </w:rPr>
        <w:t xml:space="preserve">politiche e misure per decarbonizzare il riscaldamento e raffrescamento, </w:t>
      </w:r>
      <w:bookmarkEnd w:id="6"/>
      <w:r w:rsidRPr="0077427C">
        <w:rPr>
          <w:rFonts w:ascii="Times New Roman" w:hAnsi="Times New Roman"/>
          <w:sz w:val="26"/>
          <w:szCs w:val="26"/>
        </w:rPr>
        <w:t>nella prospettiva di eliminare gradualmente completamente le caldaie a combustibili fossili. Gli Stati membri potranno stabilire esenzioni per taluni edifici (ad es. storici, rurali, delle forze armate).</w:t>
      </w:r>
    </w:p>
    <w:p w14:paraId="17275D47" w14:textId="77777777" w:rsidR="00765035" w:rsidRPr="0077427C" w:rsidRDefault="00765035" w:rsidP="00765035">
      <w:pPr>
        <w:rPr>
          <w:rFonts w:ascii="Times New Roman" w:hAnsi="Times New Roman"/>
          <w:sz w:val="26"/>
          <w:szCs w:val="26"/>
        </w:rPr>
      </w:pPr>
      <w:r w:rsidRPr="0077427C">
        <w:rPr>
          <w:rFonts w:ascii="Times New Roman" w:hAnsi="Times New Roman"/>
          <w:sz w:val="26"/>
          <w:szCs w:val="26"/>
        </w:rPr>
        <w:t xml:space="preserve">Inoltre, la nuova direttiva sull’efficienza energetica </w:t>
      </w:r>
      <w:hyperlink r:id="rId15" w:history="1">
        <w:r w:rsidRPr="0077427C">
          <w:rPr>
            <w:rFonts w:ascii="Times New Roman" w:hAnsi="Times New Roman"/>
            <w:sz w:val="26"/>
            <w:szCs w:val="26"/>
          </w:rPr>
          <w:t>direttiva EED III</w:t>
        </w:r>
      </w:hyperlink>
      <w:r w:rsidRPr="0077427C">
        <w:rPr>
          <w:rFonts w:ascii="Times New Roman" w:hAnsi="Times New Roman"/>
          <w:sz w:val="26"/>
          <w:szCs w:val="26"/>
        </w:rPr>
        <w:t xml:space="preserve"> prevede che sia riqualificato il 3% annuo della superficie climatizzata di proprietà della pubblica amministrazione, raggiungendo i requisiti almeno pari ad un edificio a energia quasi zero (articolo 6). Di fatto, tale obbligo estende quello già previsto, per la sola Pubblica amministrazione centrale, dalla direttiva UE 2012/27 e, a livello nazionale, dall’articolo 5 del d.lgs. n. 102/2014 che ha previsto anche l’adozione, entro il 30 novembre di ogni anno, del Programma per la riqualificazione energetica degli edifici della pubblica amministrazione centrale (programma PREPAC).                                                                                                                                                                                                                                                                                                                                                                                                                                                                                                                                                                                                                                                                                                                                                                                                                                                                                                                                                                                                                                                                                                                                                                                                                                                                                                                                                                                                                                                                                                                                                                                                                                                                                                                                                                                                                                                                                                                                                                                                                                                                                                                                                                                                                                                                                           </w:t>
      </w:r>
    </w:p>
    <w:p w14:paraId="5C3218A0" w14:textId="77777777" w:rsidR="00765035" w:rsidRPr="0077427C" w:rsidRDefault="00765035" w:rsidP="00765035">
      <w:pPr>
        <w:rPr>
          <w:rFonts w:ascii="Times New Roman" w:hAnsi="Times New Roman"/>
          <w:sz w:val="26"/>
          <w:szCs w:val="26"/>
        </w:rPr>
      </w:pPr>
      <w:r w:rsidRPr="0077427C">
        <w:rPr>
          <w:rFonts w:ascii="Times New Roman" w:hAnsi="Times New Roman"/>
          <w:sz w:val="26"/>
          <w:szCs w:val="26"/>
        </w:rPr>
        <w:t xml:space="preserve">Dai dati pubblicati nell’ultimo </w:t>
      </w:r>
      <w:hyperlink r:id="rId16" w:history="1">
        <w:r w:rsidRPr="0077427C">
          <w:rPr>
            <w:rFonts w:ascii="Times New Roman" w:hAnsi="Times New Roman"/>
            <w:sz w:val="26"/>
            <w:szCs w:val="26"/>
          </w:rPr>
          <w:t>rapporto PREPAC</w:t>
        </w:r>
      </w:hyperlink>
      <w:r w:rsidRPr="0077427C">
        <w:rPr>
          <w:rFonts w:ascii="Times New Roman" w:hAnsi="Times New Roman"/>
          <w:sz w:val="26"/>
          <w:szCs w:val="26"/>
        </w:rPr>
        <w:t xml:space="preserve"> disponibile, di gennaio 2024, risulta che nei primi 10 anni di attività del programma (2014-2023) sono state presentate 677 proposte progettuali. Al 2022 le proposte ammesse a finanziamento sono state poco più del 48% e hanno interessato una superficie climatizzata pari a circa 2,6 milioni di m2 che equivale, in termini di tasso medio di superficie riqualificata di proprietà della pubblica amministrazione centrale, ad un valore prossimo al 2% l’anno. Il rapporto evidenzia che nel periodo 2014-2022 i risultati raggiunti non sono stati pienamente in linea con gli obiettivi fissati in fase programmatica circa il contributo fornito dal PREPAC al target definito dal d.lgs. n. 102 del 2014. L’ammontare complessivo del finanziamento accordato in questi anni è stato prossimo ai 430 milioni di euro, con un valore medio per proposta pari a circa 1,4 milioni di euro.</w:t>
      </w:r>
    </w:p>
    <w:p w14:paraId="08E795EF" w14:textId="77777777" w:rsidR="00765035" w:rsidRPr="0077427C" w:rsidRDefault="00765035" w:rsidP="00765035">
      <w:pPr>
        <w:rPr>
          <w:rFonts w:ascii="Times New Roman" w:hAnsi="Times New Roman"/>
          <w:sz w:val="26"/>
          <w:szCs w:val="26"/>
        </w:rPr>
      </w:pPr>
      <w:r w:rsidRPr="0077427C">
        <w:rPr>
          <w:rFonts w:ascii="Times New Roman" w:hAnsi="Times New Roman"/>
          <w:sz w:val="26"/>
          <w:szCs w:val="26"/>
        </w:rPr>
        <w:t xml:space="preserve">Nel PNIEC 2024 si prospetta una riforma del PREPAC, con una ridenominazione in PREPA (Programma per la riqualificazione energetica degli edifici della Pubblica amministrazione) e la creazione di un meccanismo di ripartizione degli obiettivi a livello regionale. </w:t>
      </w:r>
    </w:p>
    <w:p w14:paraId="376FA334" w14:textId="77777777" w:rsidR="00765035" w:rsidRPr="0077427C" w:rsidRDefault="00765035" w:rsidP="00765035">
      <w:pPr>
        <w:rPr>
          <w:rFonts w:ascii="Times New Roman" w:hAnsi="Times New Roman"/>
          <w:sz w:val="26"/>
          <w:szCs w:val="26"/>
        </w:rPr>
      </w:pPr>
      <w:r w:rsidRPr="0077427C">
        <w:rPr>
          <w:rFonts w:ascii="Times New Roman" w:hAnsi="Times New Roman"/>
          <w:sz w:val="26"/>
          <w:szCs w:val="26"/>
        </w:rPr>
        <w:t>L’articolo 15 del d.lgs. n. 102/2014 ha istituito il Fondo nazionale per l’efficienza energetica (FNEE), pienamente operativo dall’anno 2019 e destinato, tra l’altro, a sostenere il finanziamento a tasso agevolato o a concedere garanzie da parte dello Stato per interventi di miglioramento dell’efficienza energetica degli edifici di proprietà della Pubblica Amministrazione, efficienza energetica dei servizi e infrastrutture pubbliche, compresa l’illuminazione pubblica, efficientamento energetico di interi edifici destinati ad uso residenziale, compresa l’edilizia popolare.</w:t>
      </w:r>
    </w:p>
    <w:p w14:paraId="50D4D044" w14:textId="77777777" w:rsidR="00765035" w:rsidRPr="0077427C" w:rsidRDefault="00765035" w:rsidP="00765035">
      <w:pPr>
        <w:rPr>
          <w:rFonts w:ascii="Times New Roman" w:hAnsi="Times New Roman"/>
          <w:sz w:val="26"/>
          <w:szCs w:val="26"/>
        </w:rPr>
      </w:pPr>
      <w:r w:rsidRPr="0077427C">
        <w:rPr>
          <w:rFonts w:ascii="Times New Roman" w:hAnsi="Times New Roman"/>
          <w:sz w:val="26"/>
          <w:szCs w:val="26"/>
        </w:rPr>
        <w:t>Il Fondo nasce con una dotazione di 185 milioni di euro a cui sono stati aggiunti ulteriori 125 milioni di euro. La sua dotazione finanziaria disponibile è di circa 310 milioni. Dall’avvio del meccanismo al 31 dicembre 2023, sono stati ammessi a finanziamento 24 progetti di efficienza energetica, per un valore di circa 19 milioni di euro.</w:t>
      </w:r>
    </w:p>
    <w:p w14:paraId="0F469A65" w14:textId="7EBE83FB" w:rsidR="00765035" w:rsidRPr="0077427C" w:rsidRDefault="00765035" w:rsidP="00765035">
      <w:pPr>
        <w:rPr>
          <w:rFonts w:ascii="Times New Roman" w:hAnsi="Times New Roman"/>
          <w:sz w:val="26"/>
          <w:szCs w:val="26"/>
        </w:rPr>
      </w:pPr>
      <w:r w:rsidRPr="0077427C">
        <w:rPr>
          <w:rFonts w:ascii="Times New Roman" w:hAnsi="Times New Roman"/>
          <w:sz w:val="26"/>
          <w:szCs w:val="26"/>
        </w:rPr>
        <w:t>In attuazione della Riforma M2C3 R.1.1. del PNRR denominata</w:t>
      </w:r>
      <w:r w:rsidRPr="0077427C">
        <w:rPr>
          <w:rFonts w:ascii="Times New Roman" w:hAnsi="Times New Roman"/>
          <w:i/>
          <w:sz w:val="26"/>
          <w:szCs w:val="26"/>
        </w:rPr>
        <w:t xml:space="preserve"> Semplificazione e accelerazione delle procedure per la realizzazione di interventi per l’efficientamento energetico</w:t>
      </w:r>
      <w:r w:rsidRPr="0077427C">
        <w:rPr>
          <w:rFonts w:ascii="Times New Roman" w:hAnsi="Times New Roman"/>
          <w:sz w:val="26"/>
          <w:szCs w:val="26"/>
        </w:rPr>
        <w:t>, che ha previsto l’aggiornamento ed il potenziamento del Fondo, la legge di bilancio per il 2022 (comma 514 dell’articolo 1 della legge n. 234/2021) ha attribuito al Fondo natura mista.</w:t>
      </w:r>
      <w:r w:rsidR="00DD4058" w:rsidRPr="0077427C">
        <w:rPr>
          <w:rFonts w:ascii="Times New Roman" w:hAnsi="Times New Roman"/>
          <w:sz w:val="26"/>
          <w:szCs w:val="26"/>
        </w:rPr>
        <w:t xml:space="preserve"> </w:t>
      </w:r>
      <w:r w:rsidRPr="0077427C">
        <w:rPr>
          <w:rFonts w:ascii="Times New Roman" w:hAnsi="Times New Roman"/>
          <w:sz w:val="26"/>
          <w:szCs w:val="26"/>
        </w:rPr>
        <w:t xml:space="preserve">Lo stesso Fondo può provvedere anche all’erogazione di finanziamenti, di cui una quota parte a fondo perduto, nel limite complessivo di 8 milioni di euro annui dal 2022. </w:t>
      </w:r>
    </w:p>
    <w:p w14:paraId="229DD86E" w14:textId="77777777" w:rsidR="00765035" w:rsidRPr="0077427C" w:rsidRDefault="00765035" w:rsidP="00765035">
      <w:pPr>
        <w:rPr>
          <w:rFonts w:ascii="Times New Roman" w:hAnsi="Times New Roman"/>
          <w:sz w:val="26"/>
          <w:szCs w:val="26"/>
        </w:rPr>
      </w:pPr>
      <w:r w:rsidRPr="0077427C">
        <w:rPr>
          <w:rFonts w:ascii="Times New Roman" w:hAnsi="Times New Roman"/>
          <w:sz w:val="26"/>
          <w:szCs w:val="26"/>
        </w:rPr>
        <w:t>Il Conto Termico, finalizzato a promuovere gli interventi di produzione di energia termica da fonti rinnovabili e di incremento dell’efficienza energetica di piccole dimensioni realizzati da parte di amministrazioni pubbliche e privati, è attualmente disciplinato dal D.M. 16 febbraio 2016. Le risorse – indicate in 900 milioni annui, di cui 500 milioni sono destinati agli incentivi per i privati e 400 milioni per gli incentivi per la pubblica amministrazione (PA) –sono destinate a interventi di incremento dell’efficienza energetica in edifici esistenti, parti di essi o unità immobiliari esistenti, nonché a interventi di piccole dimensioni di produzione di energia termica da fonti rinnovabili e di sistemi ad alta efficienza realizzati in edifici esistenti, parti di essi o unità immobiliari esistenti.</w:t>
      </w:r>
    </w:p>
    <w:p w14:paraId="1C84AF3B" w14:textId="77777777" w:rsidR="00765035" w:rsidRPr="0077427C" w:rsidRDefault="00765035" w:rsidP="00765035">
      <w:pPr>
        <w:rPr>
          <w:rFonts w:ascii="Times New Roman" w:hAnsi="Times New Roman"/>
          <w:sz w:val="26"/>
          <w:szCs w:val="26"/>
        </w:rPr>
      </w:pPr>
      <w:r w:rsidRPr="0077427C">
        <w:rPr>
          <w:rFonts w:ascii="Times New Roman" w:hAnsi="Times New Roman"/>
          <w:sz w:val="26"/>
          <w:szCs w:val="26"/>
        </w:rPr>
        <w:t>Secondo i dati forniti dal PNIEC 2024, dall’avvio del meccanismo (2013) al 31 dicembre 2023 sono pervenute circa 683 mila richieste di incentivi e impegnati 2 miliardi e 245 milioni di euro, di cui 821 milioni di euro per interventi realizzati dalla PA e 1 miliardo e 424 milioni di euro per interventi realizzati da privati. Nel 2023 sono stati riconosciuti in accesso diretto, mediante il Conto Termico, oltre 326 milioni di euro di incentivi, di cui oltre 212 milioni di euro a soggetti privati per la produzione di energia termica da fonti rinnovabili termiche e oltre 114 milioni di euro per interventi di efficientamento energetico e produzione termica da fonti rinnovabili termiche negli edifici della pubblica amministrazione. Gli incentivi prenotati dalla PA nel 2023 ammontano a circa 136 milioni di euro, in particolare per edifici nZEB (circa 105 milioni di euro).</w:t>
      </w:r>
    </w:p>
    <w:p w14:paraId="294337E9" w14:textId="77777777" w:rsidR="00765035" w:rsidRPr="0077427C" w:rsidRDefault="00765035" w:rsidP="00765035">
      <w:pPr>
        <w:rPr>
          <w:rFonts w:ascii="Times New Roman" w:hAnsi="Times New Roman"/>
          <w:sz w:val="26"/>
          <w:szCs w:val="26"/>
        </w:rPr>
      </w:pPr>
      <w:r w:rsidRPr="0077427C">
        <w:rPr>
          <w:rFonts w:ascii="Times New Roman" w:hAnsi="Times New Roman"/>
          <w:sz w:val="26"/>
          <w:szCs w:val="26"/>
        </w:rPr>
        <w:t xml:space="preserve">Il </w:t>
      </w:r>
      <w:r w:rsidRPr="0077427C">
        <w:rPr>
          <w:rFonts w:ascii="Times New Roman" w:hAnsi="Times New Roman"/>
          <w:bCs/>
          <w:sz w:val="26"/>
          <w:szCs w:val="26"/>
        </w:rPr>
        <w:t>d.lgs. n. 73/2020</w:t>
      </w:r>
      <w:r w:rsidRPr="0077427C">
        <w:rPr>
          <w:rFonts w:ascii="Times New Roman" w:hAnsi="Times New Roman"/>
          <w:sz w:val="26"/>
          <w:szCs w:val="26"/>
        </w:rPr>
        <w:t xml:space="preserve">, di recepimento della direttiva 2018/2002/UE, prevedeva un aggiornamento del Conto termico che è ancora in atto.  Dal 28 marzo 2024 al 10 maggio 2024 si è svolta la consultazione pubblica sullo schema di decreto Conto Termico 3.0. Tra le novità previste nello schema si prevede che al meccanismo incentivante possano partecipare anche le comunità energetiche rinnovabili, le configurazioni di autoconsumo e gli enti del terzo settore. Agli interventi ammissibili al beneficio sul fronte dell’efficienza energetica si aggiungono i seguenti: installazione di elementi infrastrutturali per la ricarica privata di veicoli elettrici, anche aperta al pubblico; installazione di impianti solari fotovoltaici e relativi sistemi di accumulo, presso l’edificio o nelle relative pertinenze. Gli interventi devono effettuarsi parallelamente alla sostituzione di impianti di climatizzazione invernale esistenti con impianti a pompe di calore elettriche. </w:t>
      </w:r>
    </w:p>
    <w:p w14:paraId="12C4B872" w14:textId="77777777" w:rsidR="00765035" w:rsidRPr="0077427C" w:rsidRDefault="00765035" w:rsidP="00765035">
      <w:pPr>
        <w:rPr>
          <w:rFonts w:ascii="Times New Roman" w:hAnsi="Times New Roman"/>
          <w:sz w:val="26"/>
          <w:szCs w:val="26"/>
        </w:rPr>
      </w:pPr>
      <w:r w:rsidRPr="0077427C">
        <w:rPr>
          <w:rFonts w:ascii="Times New Roman" w:hAnsi="Times New Roman"/>
          <w:sz w:val="26"/>
          <w:szCs w:val="26"/>
        </w:rPr>
        <w:t xml:space="preserve">Nelle more dell’adozione della nuova disciplina del meccanismo, la recente legge di bilancio 2025 (L. n. 207/2024, articolo 1, comma 376) dispone che la misura degli </w:t>
      </w:r>
      <w:r w:rsidRPr="0077427C">
        <w:rPr>
          <w:rFonts w:ascii="Times New Roman" w:hAnsi="Times New Roman"/>
          <w:bCs/>
          <w:sz w:val="26"/>
          <w:szCs w:val="26"/>
        </w:rPr>
        <w:t>incentivi</w:t>
      </w:r>
      <w:r w:rsidRPr="0077427C">
        <w:rPr>
          <w:rFonts w:ascii="Times New Roman" w:hAnsi="Times New Roman"/>
          <w:sz w:val="26"/>
          <w:szCs w:val="26"/>
        </w:rPr>
        <w:t xml:space="preserve"> per gli interventi di produzione di energia termica da fonti rinnovabili e di incremento dell’efficienza energetica di piccole dimensioni di cui al conto termico </w:t>
      </w:r>
      <w:r w:rsidRPr="0077427C">
        <w:rPr>
          <w:rFonts w:ascii="Times New Roman" w:hAnsi="Times New Roman"/>
          <w:sz w:val="26"/>
          <w:szCs w:val="26"/>
          <w:shd w:val="clear" w:color="auto" w:fill="FFFFFF"/>
        </w:rPr>
        <w:t>è del 100 per cento delle spese ammissibili</w:t>
      </w:r>
      <w:r w:rsidRPr="0077427C">
        <w:rPr>
          <w:rFonts w:ascii="Times New Roman" w:hAnsi="Times New Roman"/>
          <w:sz w:val="26"/>
          <w:szCs w:val="26"/>
        </w:rPr>
        <w:t xml:space="preserve">, non solo quando tali interventi si realizzino su edifici pubblici adibiti ad uso scolastico e su edifici di strutture ospedaliere del Servizio sanitario nazionale (Ssn), ma anche </w:t>
      </w:r>
      <w:r w:rsidRPr="0077427C">
        <w:rPr>
          <w:rFonts w:ascii="Times New Roman" w:hAnsi="Times New Roman"/>
          <w:bCs/>
          <w:sz w:val="26"/>
          <w:szCs w:val="26"/>
        </w:rPr>
        <w:t>su altre strutture sanitarie pubbliche, incluse quelle residenziali, di assistenza, di cura o di ricovero del Ssn</w:t>
      </w:r>
      <w:r w:rsidRPr="0077427C">
        <w:rPr>
          <w:rFonts w:ascii="Times New Roman" w:hAnsi="Times New Roman"/>
          <w:sz w:val="26"/>
          <w:szCs w:val="26"/>
        </w:rPr>
        <w:t>.</w:t>
      </w:r>
    </w:p>
    <w:p w14:paraId="1FE495E1" w14:textId="77777777" w:rsidR="00765035" w:rsidRPr="0077427C" w:rsidRDefault="00765035" w:rsidP="00765035">
      <w:pPr>
        <w:rPr>
          <w:rFonts w:ascii="Times New Roman" w:hAnsi="Times New Roman"/>
          <w:sz w:val="26"/>
          <w:szCs w:val="26"/>
        </w:rPr>
      </w:pPr>
      <w:r w:rsidRPr="0077427C">
        <w:rPr>
          <w:rFonts w:ascii="Times New Roman" w:hAnsi="Times New Roman"/>
          <w:sz w:val="26"/>
          <w:szCs w:val="26"/>
        </w:rPr>
        <w:t>Nell’ambito del PNRR, la Missione 2 “Rivoluzione verde e Transizione ecologica” è specificatamente rivolta alla promozione di misure di transizione ecologica, ivi inclusi gli investimenti rientranti nell’ambito della “Efficienza energetica e riqualificazione degli edifici”, di cui alla Componente 2. A tale componente sono stati attribuiti oltre 15 miliardi di euro a cui si aggiungono ulteriori investimenti presenti in altre Missioni e componenti.</w:t>
      </w:r>
    </w:p>
    <w:p w14:paraId="1F568F83" w14:textId="64F9443A" w:rsidR="00765035" w:rsidRPr="0077427C" w:rsidRDefault="00765035" w:rsidP="00765035">
      <w:pPr>
        <w:rPr>
          <w:rFonts w:ascii="Times New Roman" w:hAnsi="Times New Roman"/>
          <w:sz w:val="26"/>
          <w:szCs w:val="26"/>
        </w:rPr>
      </w:pPr>
      <w:r w:rsidRPr="0077427C">
        <w:rPr>
          <w:rFonts w:ascii="Times New Roman" w:hAnsi="Times New Roman"/>
          <w:sz w:val="26"/>
          <w:szCs w:val="26"/>
        </w:rPr>
        <w:t xml:space="preserve">Tra i più rilevanti investimenti per il miglioramento dell’efficienza energetica degli edifici, si segnala la </w:t>
      </w:r>
      <w:r w:rsidRPr="0077427C">
        <w:rPr>
          <w:rFonts w:ascii="Times New Roman" w:hAnsi="Times New Roman"/>
          <w:i/>
          <w:sz w:val="26"/>
          <w:szCs w:val="26"/>
        </w:rPr>
        <w:t>promozione di una rete di teleriscaldamento efficiente (M2C3-I.3.1)</w:t>
      </w:r>
      <w:r w:rsidRPr="0077427C">
        <w:rPr>
          <w:rFonts w:ascii="Times New Roman" w:hAnsi="Times New Roman"/>
          <w:sz w:val="26"/>
          <w:szCs w:val="26"/>
        </w:rPr>
        <w:t xml:space="preserve"> (200 milioni), nell’ambito della quale sono stati ammessi a finanziamento a valere sulle risorse PNRR 14 progetti. Altri 15 progetti sono stati giudicati dalla Commissione </w:t>
      </w:r>
      <w:r w:rsidR="00DD4058" w:rsidRPr="0077427C">
        <w:rPr>
          <w:rFonts w:ascii="Times New Roman" w:hAnsi="Times New Roman"/>
          <w:sz w:val="26"/>
          <w:szCs w:val="26"/>
        </w:rPr>
        <w:t>e</w:t>
      </w:r>
      <w:r w:rsidRPr="0077427C">
        <w:rPr>
          <w:rFonts w:ascii="Times New Roman" w:hAnsi="Times New Roman"/>
          <w:sz w:val="26"/>
          <w:szCs w:val="26"/>
        </w:rPr>
        <w:t>uropea come non eleggibili e, pertanto, sono stati stanziati appositi finanziamenti statali (96,7 milioni di euro) con l’articolo 10 del D.L. n. 181/2023. Conseguentemente, con le risorse PNRR liberate si è provveduto allo scorrimento della graduatoria. Secondo i dati riportati dal PNIEC 2024, a luglio 2024 sono risultati ammessi complessivamente 50 progetti.</w:t>
      </w:r>
    </w:p>
    <w:p w14:paraId="56CC65F6" w14:textId="77777777" w:rsidR="00765035" w:rsidRPr="0077427C" w:rsidRDefault="00765035" w:rsidP="00765035">
      <w:pPr>
        <w:ind w:firstLine="0"/>
        <w:rPr>
          <w:rFonts w:ascii="Times New Roman" w:hAnsi="Times New Roman"/>
          <w:sz w:val="26"/>
          <w:szCs w:val="26"/>
        </w:rPr>
      </w:pPr>
      <w:r w:rsidRPr="0077427C">
        <w:rPr>
          <w:rFonts w:ascii="Times New Roman" w:hAnsi="Times New Roman"/>
          <w:sz w:val="26"/>
          <w:szCs w:val="26"/>
        </w:rPr>
        <w:tab/>
        <w:t>Il PNRR prevede inoltre: un investimento per la costruzione di nuove scuole mediante la sostituzione di edifici</w:t>
      </w:r>
      <w:r w:rsidRPr="0077427C">
        <w:rPr>
          <w:rFonts w:ascii="Times New Roman" w:hAnsi="Times New Roman"/>
          <w:i/>
          <w:sz w:val="26"/>
          <w:szCs w:val="26"/>
        </w:rPr>
        <w:t xml:space="preserve"> (M2C3-I.1.1)</w:t>
      </w:r>
      <w:r w:rsidRPr="0077427C">
        <w:rPr>
          <w:rFonts w:ascii="Times New Roman" w:hAnsi="Times New Roman"/>
          <w:sz w:val="26"/>
          <w:szCs w:val="26"/>
        </w:rPr>
        <w:t xml:space="preserve"> (1.006 milioni), che riguarda 216 nuove scuole; l’efficientamento energetico</w:t>
      </w:r>
      <w:r w:rsidRPr="0077427C">
        <w:rPr>
          <w:rFonts w:ascii="Times New Roman" w:hAnsi="Times New Roman"/>
          <w:i/>
          <w:sz w:val="26"/>
          <w:szCs w:val="26"/>
        </w:rPr>
        <w:t xml:space="preserve"> </w:t>
      </w:r>
      <w:r w:rsidRPr="0077427C">
        <w:rPr>
          <w:rFonts w:ascii="Times New Roman" w:hAnsi="Times New Roman"/>
          <w:sz w:val="26"/>
          <w:szCs w:val="26"/>
        </w:rPr>
        <w:t>di 48 edifici giudiziari</w:t>
      </w:r>
      <w:r w:rsidRPr="0077427C">
        <w:rPr>
          <w:rFonts w:ascii="Times New Roman" w:hAnsi="Times New Roman"/>
          <w:i/>
          <w:sz w:val="26"/>
          <w:szCs w:val="26"/>
        </w:rPr>
        <w:t xml:space="preserve"> (M2C3-I.1.2)</w:t>
      </w:r>
      <w:r w:rsidRPr="0077427C">
        <w:rPr>
          <w:rFonts w:ascii="Times New Roman" w:hAnsi="Times New Roman"/>
          <w:sz w:val="26"/>
          <w:szCs w:val="26"/>
        </w:rPr>
        <w:t xml:space="preserve"> (411,7 milioni + 132,9 di FNC); il miglioramento dell’efficienza energetica nei cinema, nei teatri e nei musei (M1C3-I1.3) (300 milioni);  un Piano di messa in sicurezza e riqualificazione dell’edilizia scolastica </w:t>
      </w:r>
      <w:r w:rsidRPr="0077427C">
        <w:rPr>
          <w:rFonts w:ascii="Times New Roman" w:hAnsi="Times New Roman"/>
          <w:i/>
          <w:sz w:val="26"/>
          <w:szCs w:val="26"/>
        </w:rPr>
        <w:t>(M4C1-I.3.3)</w:t>
      </w:r>
      <w:r w:rsidRPr="0077427C">
        <w:rPr>
          <w:rFonts w:ascii="Times New Roman" w:hAnsi="Times New Roman"/>
          <w:sz w:val="26"/>
          <w:szCs w:val="26"/>
        </w:rPr>
        <w:t xml:space="preserve"> (4,399 miliardi); il Programma Innovativo Nazionale per la Qualità abitativa - </w:t>
      </w:r>
      <w:proofErr w:type="spellStart"/>
      <w:r w:rsidRPr="0077427C">
        <w:rPr>
          <w:rFonts w:ascii="Times New Roman" w:hAnsi="Times New Roman"/>
          <w:sz w:val="26"/>
          <w:szCs w:val="26"/>
        </w:rPr>
        <w:t>PinQua</w:t>
      </w:r>
      <w:proofErr w:type="spellEnd"/>
      <w:r w:rsidRPr="0077427C">
        <w:rPr>
          <w:rFonts w:ascii="Times New Roman" w:hAnsi="Times New Roman"/>
          <w:sz w:val="26"/>
          <w:szCs w:val="26"/>
        </w:rPr>
        <w:t xml:space="preserve"> </w:t>
      </w:r>
      <w:r w:rsidRPr="0077427C">
        <w:rPr>
          <w:rFonts w:ascii="Times New Roman" w:hAnsi="Times New Roman"/>
          <w:i/>
          <w:sz w:val="26"/>
          <w:szCs w:val="26"/>
        </w:rPr>
        <w:t xml:space="preserve">(M5C2-I2.3) </w:t>
      </w:r>
      <w:r w:rsidRPr="0077427C">
        <w:rPr>
          <w:rFonts w:ascii="Times New Roman" w:hAnsi="Times New Roman"/>
          <w:sz w:val="26"/>
          <w:szCs w:val="26"/>
        </w:rPr>
        <w:t xml:space="preserve">(2,144 miliardi), che è finalizzato alla realizzazione di nuove strutture di edilizia residenziale pubblica, per ridurre le difficoltà abitative, con particolare riferimento al patrimonio pubblico esistente, e alla riqualificazione delle aree degradate, puntando principalmente sull’innovazione verde e sulla sostenibilità, compresa l’efficienza energetica; un sostegno finanziario, nell’ambito del capitolo </w:t>
      </w:r>
      <w:proofErr w:type="spellStart"/>
      <w:r w:rsidRPr="0077427C">
        <w:rPr>
          <w:rFonts w:ascii="Times New Roman" w:hAnsi="Times New Roman"/>
          <w:sz w:val="26"/>
          <w:szCs w:val="26"/>
        </w:rPr>
        <w:t>RePowerEU</w:t>
      </w:r>
      <w:proofErr w:type="spellEnd"/>
      <w:r w:rsidRPr="0077427C">
        <w:rPr>
          <w:rFonts w:ascii="Times New Roman" w:hAnsi="Times New Roman"/>
          <w:sz w:val="26"/>
          <w:szCs w:val="26"/>
        </w:rPr>
        <w:t>, di 1,38 miliardi di euro per la riqualificazione energetica dell’edilizia pubblica e sociale e delle famiglie a basso reddito e vulnerabili (M7 – I.17).</w:t>
      </w:r>
    </w:p>
    <w:p w14:paraId="46F8EA8D" w14:textId="77777777" w:rsidR="00317B5A" w:rsidRPr="0077427C" w:rsidRDefault="00317B5A" w:rsidP="00EC341A">
      <w:pPr>
        <w:rPr>
          <w:rFonts w:ascii="Times New Roman" w:hAnsi="Times New Roman"/>
          <w:sz w:val="26"/>
          <w:szCs w:val="26"/>
        </w:rPr>
      </w:pPr>
    </w:p>
    <w:p w14:paraId="6BF2E0B2" w14:textId="77777777" w:rsidR="00D63209" w:rsidRPr="0077427C" w:rsidRDefault="00D63209">
      <w:pPr>
        <w:spacing w:after="160" w:line="259" w:lineRule="auto"/>
        <w:ind w:firstLine="0"/>
        <w:jc w:val="left"/>
        <w:rPr>
          <w:rFonts w:ascii="Times New Roman" w:hAnsi="Times New Roman"/>
          <w:b/>
          <w:sz w:val="26"/>
          <w:szCs w:val="26"/>
        </w:rPr>
      </w:pPr>
      <w:r w:rsidRPr="0077427C">
        <w:rPr>
          <w:rFonts w:ascii="Times New Roman" w:hAnsi="Times New Roman"/>
          <w:b/>
          <w:sz w:val="26"/>
          <w:szCs w:val="26"/>
        </w:rPr>
        <w:br w:type="page"/>
      </w:r>
    </w:p>
    <w:p w14:paraId="564AF711" w14:textId="48F7CE59" w:rsidR="00317B5A" w:rsidRPr="0077427C" w:rsidRDefault="00317B5A" w:rsidP="00102E5B">
      <w:pPr>
        <w:pStyle w:val="Titolo2"/>
      </w:pPr>
      <w:bookmarkStart w:id="7" w:name="_Toc190697363"/>
      <w:r w:rsidRPr="0077427C">
        <w:t>2.3</w:t>
      </w:r>
      <w:r w:rsidRPr="0077427C">
        <w:tab/>
        <w:t xml:space="preserve"> Il quadro nazionale delle emissioni di gas ad effetto serra</w:t>
      </w:r>
      <w:bookmarkEnd w:id="7"/>
    </w:p>
    <w:p w14:paraId="3B7E6B56" w14:textId="77777777" w:rsidR="00765035" w:rsidRPr="0077427C" w:rsidRDefault="00765035" w:rsidP="00765035">
      <w:pPr>
        <w:spacing w:line="240" w:lineRule="auto"/>
        <w:rPr>
          <w:rFonts w:ascii="Times New Roman" w:hAnsi="Times New Roman"/>
          <w:sz w:val="26"/>
        </w:rPr>
      </w:pPr>
      <w:r w:rsidRPr="0077427C">
        <w:rPr>
          <w:rFonts w:ascii="Times New Roman" w:hAnsi="Times New Roman"/>
          <w:sz w:val="26"/>
        </w:rPr>
        <w:t>L'accordo di Parigi, che è entrato in vigore il 4 novembre 2016 e che si applica dal 2021, prevede che ogni Paese, al momento dell'adesione, comunichi il proprio "contributo determinato a livello nazionale" (</w:t>
      </w:r>
      <w:r w:rsidRPr="0077427C">
        <w:rPr>
          <w:rFonts w:ascii="Times New Roman" w:hAnsi="Times New Roman"/>
          <w:i/>
          <w:iCs/>
          <w:sz w:val="26"/>
        </w:rPr>
        <w:t xml:space="preserve">NDC - </w:t>
      </w:r>
      <w:proofErr w:type="spellStart"/>
      <w:r w:rsidRPr="0077427C">
        <w:rPr>
          <w:rFonts w:ascii="Times New Roman" w:hAnsi="Times New Roman"/>
          <w:i/>
          <w:iCs/>
          <w:sz w:val="26"/>
        </w:rPr>
        <w:t>Nationally</w:t>
      </w:r>
      <w:proofErr w:type="spellEnd"/>
      <w:r w:rsidRPr="0077427C">
        <w:rPr>
          <w:rFonts w:ascii="Times New Roman" w:hAnsi="Times New Roman"/>
          <w:i/>
          <w:iCs/>
          <w:sz w:val="26"/>
        </w:rPr>
        <w:t xml:space="preserve"> </w:t>
      </w:r>
      <w:proofErr w:type="spellStart"/>
      <w:r w:rsidRPr="0077427C">
        <w:rPr>
          <w:rFonts w:ascii="Times New Roman" w:hAnsi="Times New Roman"/>
          <w:i/>
          <w:iCs/>
          <w:sz w:val="26"/>
        </w:rPr>
        <w:t>Determined</w:t>
      </w:r>
      <w:proofErr w:type="spellEnd"/>
      <w:r w:rsidRPr="0077427C">
        <w:rPr>
          <w:rFonts w:ascii="Times New Roman" w:hAnsi="Times New Roman"/>
          <w:i/>
          <w:iCs/>
          <w:sz w:val="26"/>
        </w:rPr>
        <w:t xml:space="preserve"> </w:t>
      </w:r>
      <w:proofErr w:type="spellStart"/>
      <w:r w:rsidRPr="0077427C">
        <w:rPr>
          <w:rFonts w:ascii="Times New Roman" w:hAnsi="Times New Roman"/>
          <w:i/>
          <w:iCs/>
          <w:sz w:val="26"/>
        </w:rPr>
        <w:t>Contribution</w:t>
      </w:r>
      <w:proofErr w:type="spellEnd"/>
      <w:r w:rsidRPr="0077427C">
        <w:rPr>
          <w:rFonts w:ascii="Times New Roman" w:hAnsi="Times New Roman"/>
          <w:sz w:val="26"/>
        </w:rPr>
        <w:t>) con l'obbligo di perseguire conseguenti misure per la sua attuazione. Ogni successivo contributo nazionale (da comunicare ogni cinque anni) dovrà costituire un avanzamento rispetto allo sforzo precedentemente rappresentato con il primo contributo.</w:t>
      </w:r>
    </w:p>
    <w:p w14:paraId="7BE8A90A" w14:textId="49BB5816" w:rsidR="00765035" w:rsidRPr="0077427C" w:rsidRDefault="00765035" w:rsidP="00765035">
      <w:pPr>
        <w:spacing w:line="240" w:lineRule="auto"/>
        <w:rPr>
          <w:rFonts w:ascii="Times New Roman" w:hAnsi="Times New Roman"/>
          <w:sz w:val="26"/>
        </w:rPr>
      </w:pPr>
      <w:r w:rsidRPr="0077427C">
        <w:rPr>
          <w:rFonts w:ascii="Times New Roman" w:hAnsi="Times New Roman"/>
          <w:sz w:val="26"/>
        </w:rPr>
        <w:t>L’NDC dell’Unione europea, che inizialmente prevedeva un obiettivo di</w:t>
      </w:r>
      <w:r w:rsidRPr="0077427C">
        <w:rPr>
          <w:rFonts w:ascii="Times New Roman" w:hAnsi="Times New Roman"/>
          <w:b/>
          <w:bCs/>
          <w:sz w:val="26"/>
        </w:rPr>
        <w:t xml:space="preserve"> </w:t>
      </w:r>
      <w:r w:rsidRPr="0077427C">
        <w:rPr>
          <w:rFonts w:ascii="Times New Roman" w:hAnsi="Times New Roman"/>
          <w:sz w:val="26"/>
        </w:rPr>
        <w:t>riduzione dei gas serra del 40% a livello europeo rispetto all'anno 1990, è stato modificato in seguito ai nuovi obiettivi posti nell'ambito del "</w:t>
      </w:r>
      <w:r w:rsidRPr="0077427C">
        <w:rPr>
          <w:rFonts w:ascii="Times New Roman" w:hAnsi="Times New Roman"/>
          <w:i/>
          <w:sz w:val="26"/>
        </w:rPr>
        <w:t>Green Deal</w:t>
      </w:r>
      <w:r w:rsidRPr="0077427C">
        <w:rPr>
          <w:rFonts w:ascii="Times New Roman" w:hAnsi="Times New Roman"/>
          <w:sz w:val="26"/>
        </w:rPr>
        <w:t xml:space="preserve"> europeo" e dal cd. pacchetto "</w:t>
      </w:r>
      <w:proofErr w:type="spellStart"/>
      <w:r w:rsidRPr="0077427C">
        <w:rPr>
          <w:rFonts w:ascii="Times New Roman" w:hAnsi="Times New Roman"/>
          <w:i/>
          <w:sz w:val="26"/>
        </w:rPr>
        <w:t>Fit</w:t>
      </w:r>
      <w:proofErr w:type="spellEnd"/>
      <w:r w:rsidRPr="0077427C">
        <w:rPr>
          <w:rFonts w:ascii="Times New Roman" w:hAnsi="Times New Roman"/>
          <w:i/>
          <w:sz w:val="26"/>
        </w:rPr>
        <w:t xml:space="preserve"> for 55</w:t>
      </w:r>
      <w:r w:rsidRPr="0077427C">
        <w:rPr>
          <w:rFonts w:ascii="Times New Roman" w:hAnsi="Times New Roman"/>
          <w:sz w:val="26"/>
        </w:rPr>
        <w:t>: il 16 ottobre 2023 il Consiglio dell'UE ha approvato la presentazione alla Convenzione quadro delle Nazioni Unite sui cambiamenti climatici (UNFCCC) dell'</w:t>
      </w:r>
      <w:hyperlink r:id="rId17" w:tgtFrame="_new" w:history="1">
        <w:r w:rsidRPr="0077427C">
          <w:rPr>
            <w:rFonts w:ascii="Times New Roman" w:hAnsi="Times New Roman"/>
            <w:sz w:val="26"/>
          </w:rPr>
          <w:t>NDC aggiornato dell'UE</w:t>
        </w:r>
      </w:hyperlink>
      <w:r w:rsidRPr="0077427C">
        <w:rPr>
          <w:rFonts w:ascii="Times New Roman" w:hAnsi="Times New Roman"/>
          <w:sz w:val="26"/>
        </w:rPr>
        <w:t>, che recepisce il nuovo obiettivo di ridurre le emissioni nette di gas serra di almeno il 55% entro il 2030, rispetto ai livelli del 1990.</w:t>
      </w:r>
    </w:p>
    <w:p w14:paraId="27A9ECEE" w14:textId="77777777" w:rsidR="00765035" w:rsidRPr="0077427C" w:rsidRDefault="00765035" w:rsidP="00765035">
      <w:pPr>
        <w:spacing w:line="240" w:lineRule="auto"/>
        <w:rPr>
          <w:rFonts w:ascii="Times New Roman" w:hAnsi="Times New Roman"/>
          <w:sz w:val="26"/>
        </w:rPr>
      </w:pPr>
      <w:r w:rsidRPr="0077427C">
        <w:rPr>
          <w:rFonts w:ascii="Times New Roman" w:hAnsi="Times New Roman"/>
          <w:sz w:val="26"/>
        </w:rPr>
        <w:t xml:space="preserve">Il rafforzamento degli obiettivi di riduzione delle emissioni di gas serra in sede europea ha reso necessario </w:t>
      </w:r>
      <w:hyperlink r:id="rId18" w:history="1">
        <w:r w:rsidRPr="0077427C">
          <w:rPr>
            <w:rFonts w:ascii="Times New Roman" w:hAnsi="Times New Roman"/>
            <w:sz w:val="26"/>
          </w:rPr>
          <w:t>l'</w:t>
        </w:r>
      </w:hyperlink>
      <w:hyperlink r:id="rId19" w:history="1">
        <w:r w:rsidRPr="0077427C">
          <w:rPr>
            <w:rFonts w:ascii="Times New Roman" w:hAnsi="Times New Roman"/>
            <w:sz w:val="26"/>
          </w:rPr>
          <w:t>aggiornamento del PNIEC</w:t>
        </w:r>
      </w:hyperlink>
      <w:r w:rsidRPr="0077427C">
        <w:rPr>
          <w:rFonts w:ascii="Times New Roman" w:hAnsi="Times New Roman"/>
          <w:sz w:val="26"/>
        </w:rPr>
        <w:t xml:space="preserve"> adottato nel dicembre 2019, al fine di riflettere i mutamenti strategici nel frattempo intervenuti. </w:t>
      </w:r>
    </w:p>
    <w:p w14:paraId="3CF32986" w14:textId="77777777" w:rsidR="00765035" w:rsidRPr="0077427C" w:rsidRDefault="00765035" w:rsidP="00765035">
      <w:pPr>
        <w:spacing w:line="240" w:lineRule="auto"/>
        <w:rPr>
          <w:rFonts w:ascii="Times New Roman" w:hAnsi="Times New Roman"/>
          <w:sz w:val="26"/>
        </w:rPr>
      </w:pPr>
      <w:r w:rsidRPr="0077427C">
        <w:rPr>
          <w:rFonts w:ascii="Times New Roman" w:hAnsi="Times New Roman"/>
          <w:sz w:val="26"/>
        </w:rPr>
        <w:t xml:space="preserve">Nell’aggiornamento del </w:t>
      </w:r>
      <w:hyperlink r:id="rId20" w:tgtFrame="_new" w:history="1">
        <w:r w:rsidRPr="0077427C">
          <w:rPr>
            <w:rFonts w:ascii="Times New Roman" w:hAnsi="Times New Roman"/>
            <w:sz w:val="26"/>
          </w:rPr>
          <w:t>PNIEC</w:t>
        </w:r>
      </w:hyperlink>
      <w:r w:rsidRPr="0077427C">
        <w:rPr>
          <w:rFonts w:ascii="Times New Roman" w:hAnsi="Times New Roman"/>
          <w:sz w:val="26"/>
        </w:rPr>
        <w:t xml:space="preserve"> è riportato lo "scenario emissivo di riferimento a politiche correnti (ovvero considerando l'effetto delle politiche adottate a tutto il 2021)" e lo "scenario con politiche aggiuntive" relativamente alle emissioni dei settori non-ETS (o emissioni </w:t>
      </w:r>
      <w:proofErr w:type="spellStart"/>
      <w:r w:rsidRPr="0077427C">
        <w:rPr>
          <w:rFonts w:ascii="Times New Roman" w:hAnsi="Times New Roman"/>
          <w:i/>
          <w:sz w:val="26"/>
        </w:rPr>
        <w:t>Effort</w:t>
      </w:r>
      <w:proofErr w:type="spellEnd"/>
      <w:r w:rsidRPr="0077427C">
        <w:rPr>
          <w:rFonts w:ascii="Times New Roman" w:hAnsi="Times New Roman"/>
          <w:i/>
          <w:sz w:val="26"/>
        </w:rPr>
        <w:t xml:space="preserve"> Sharing</w:t>
      </w:r>
      <w:r w:rsidRPr="0077427C">
        <w:rPr>
          <w:rFonts w:ascii="Times New Roman" w:hAnsi="Times New Roman"/>
          <w:sz w:val="26"/>
        </w:rPr>
        <w:t xml:space="preserve"> - ESR), in cui è ricompreso il settore residenziale e che rappresentano la quota delle emissioni di gas serra su cui occorrerà agire per raggiungere gli obiettivi fissati dall'UE. </w:t>
      </w:r>
    </w:p>
    <w:p w14:paraId="578CC2F5" w14:textId="3B93983F" w:rsidR="00765035" w:rsidRPr="0077427C" w:rsidRDefault="00765035" w:rsidP="00765035">
      <w:pPr>
        <w:spacing w:line="240" w:lineRule="auto"/>
        <w:rPr>
          <w:rFonts w:ascii="Times New Roman" w:hAnsi="Times New Roman"/>
          <w:sz w:val="26"/>
        </w:rPr>
      </w:pPr>
      <w:r w:rsidRPr="0077427C">
        <w:rPr>
          <w:rFonts w:ascii="Times New Roman" w:hAnsi="Times New Roman"/>
          <w:sz w:val="26"/>
        </w:rPr>
        <w:t>Nel PNIEC viene sottolineato che</w:t>
      </w:r>
      <w:r w:rsidR="00DD4058" w:rsidRPr="0077427C">
        <w:rPr>
          <w:rFonts w:ascii="Times New Roman" w:hAnsi="Times New Roman"/>
          <w:sz w:val="26"/>
        </w:rPr>
        <w:t>,</w:t>
      </w:r>
      <w:r w:rsidRPr="0077427C">
        <w:rPr>
          <w:rFonts w:ascii="Times New Roman" w:hAnsi="Times New Roman"/>
          <w:sz w:val="26"/>
        </w:rPr>
        <w:t xml:space="preserve"> a fronte di una riduzione attesa delle emissioni totali dal 2005 al 2030 pari a circa 244 MtCO2eq, ci si aspetta che le emissioni ESR si riducano di circa 100 MtCO2eq (circa il 29%). Tale percentuale di riduzione risulta inferiore agli obiettivi dell’U</w:t>
      </w:r>
      <w:r w:rsidR="00DD4058" w:rsidRPr="0077427C">
        <w:rPr>
          <w:rFonts w:ascii="Times New Roman" w:hAnsi="Times New Roman"/>
          <w:sz w:val="26"/>
        </w:rPr>
        <w:t>nione europea</w:t>
      </w:r>
      <w:r w:rsidRPr="0077427C">
        <w:rPr>
          <w:rFonts w:ascii="Times New Roman" w:hAnsi="Times New Roman"/>
          <w:sz w:val="26"/>
        </w:rPr>
        <w:t xml:space="preserve"> considerato che, in particolare, per il settore ESR, il Regolamento (UE) 2023/857 ha fissato per l'Italia un obiettivo di riduzione entro il 2030 del 43,7% rispetto ai livelli del 2005.</w:t>
      </w:r>
    </w:p>
    <w:p w14:paraId="4E202392" w14:textId="77777777" w:rsidR="00765035" w:rsidRPr="0077427C" w:rsidRDefault="00765035" w:rsidP="00765035">
      <w:pPr>
        <w:spacing w:line="240" w:lineRule="auto"/>
        <w:rPr>
          <w:rFonts w:ascii="Times New Roman" w:hAnsi="Times New Roman"/>
          <w:sz w:val="26"/>
        </w:rPr>
      </w:pPr>
      <w:r w:rsidRPr="0077427C">
        <w:rPr>
          <w:rFonts w:ascii="Times New Roman" w:hAnsi="Times New Roman"/>
          <w:sz w:val="26"/>
        </w:rPr>
        <w:t>In relazione a tali divari, nel PNIEC viene evidenziato che le misure attualmente vigenti appaiono, quindi, più efficaci in termini di riduzione delle emissioni ETS grazie soprattutto all'incremento di rinnovabili nel mix di generazione elettrica. Tuttavia, al fine di promuovere una riduzione delle emissioni climalteranti nei settori ricadenti in ambito ESR (trasporti e civile in primis) una modifica della generazione se non accompagnata da una variazione dei consumi in termini di entità o vettori impiegati, determina vantaggi contenuti e, quindi, che sarà necessario adottare politiche e misure aggiuntive, che dovranno essere particolarmente incisive nei settori civile e trasporti”.</w:t>
      </w:r>
    </w:p>
    <w:p w14:paraId="42016777" w14:textId="77777777" w:rsidR="00765035" w:rsidRPr="0077427C" w:rsidRDefault="00765035" w:rsidP="00765035">
      <w:pPr>
        <w:spacing w:line="240" w:lineRule="auto"/>
        <w:rPr>
          <w:rFonts w:ascii="Times New Roman" w:hAnsi="Times New Roman"/>
          <w:sz w:val="26"/>
        </w:rPr>
      </w:pPr>
      <w:r w:rsidRPr="0077427C">
        <w:rPr>
          <w:rFonts w:ascii="Times New Roman" w:hAnsi="Times New Roman"/>
          <w:sz w:val="26"/>
        </w:rPr>
        <w:t xml:space="preserve">Nel civile, per conseguire la riduzione delle emissioni al 2030 rispetto al 2005 e promuovere un incremento nel risparmio sui consumi finali di energia, sono state previste misure di accelerazione nel ritmo di efficientamento degli edifici esistenti, rafforzata da una maggiore diffusione di interventi di riqualificazione profonda e dall'applicazione di tecnologie particolarmente performanti (come, ad esempio, pompe di calore e sistemi BACS).  Inoltre, in prospettiva, un ruolo di impulso alla decarbonizzazione dei settori civile e trasporti verrà dalla direttiva ETS, che prevede, tra l’altro, la creazione di un sistema ETS ad hoc che disciplinerà anche questi settori: il meccanismo di </w:t>
      </w:r>
      <w:proofErr w:type="spellStart"/>
      <w:r w:rsidRPr="0077427C">
        <w:rPr>
          <w:rFonts w:ascii="Times New Roman" w:hAnsi="Times New Roman"/>
          <w:i/>
          <w:sz w:val="26"/>
        </w:rPr>
        <w:t>cap</w:t>
      </w:r>
      <w:proofErr w:type="spellEnd"/>
      <w:r w:rsidRPr="0077427C">
        <w:rPr>
          <w:rFonts w:ascii="Times New Roman" w:hAnsi="Times New Roman"/>
          <w:i/>
          <w:sz w:val="26"/>
        </w:rPr>
        <w:t xml:space="preserve"> and trade</w:t>
      </w:r>
      <w:r w:rsidRPr="0077427C">
        <w:rPr>
          <w:rFonts w:ascii="Times New Roman" w:hAnsi="Times New Roman"/>
          <w:sz w:val="26"/>
        </w:rPr>
        <w:t xml:space="preserve"> si affiancherà, a partire dal 2027, alle politiche e misure nazionali.</w:t>
      </w:r>
    </w:p>
    <w:p w14:paraId="4AEB0863" w14:textId="77777777" w:rsidR="00765035" w:rsidRPr="0077427C" w:rsidRDefault="00765035" w:rsidP="00765035">
      <w:pPr>
        <w:spacing w:line="240" w:lineRule="auto"/>
        <w:rPr>
          <w:rFonts w:ascii="Times New Roman" w:hAnsi="Times New Roman"/>
          <w:sz w:val="26"/>
        </w:rPr>
      </w:pPr>
      <w:r w:rsidRPr="0077427C">
        <w:rPr>
          <w:rFonts w:ascii="Times New Roman" w:hAnsi="Times New Roman"/>
          <w:sz w:val="26"/>
        </w:rPr>
        <w:t>In relazione al settore residenziale, il PNIEC evidenzia che, considerando lo scenario con politiche aggiuntive, l'analisi relativa al periodo 2021-2030 mostra una diminuzione delle emissioni del 32% per il notevole tasso di ristrutturazione degli edifici, il costante efficientamento e la progressiva elettrificazione del settore soprattutto grazie alla massiccia penetrazione di pompe di calore.</w:t>
      </w:r>
    </w:p>
    <w:p w14:paraId="35AD94BC" w14:textId="77777777" w:rsidR="00765035" w:rsidRPr="0077427C" w:rsidRDefault="00765035" w:rsidP="00765035">
      <w:pPr>
        <w:spacing w:line="240" w:lineRule="auto"/>
        <w:ind w:firstLine="0"/>
        <w:rPr>
          <w:rFonts w:ascii="Times New Roman" w:hAnsi="Times New Roman"/>
          <w:sz w:val="26"/>
        </w:rPr>
      </w:pPr>
      <w:r w:rsidRPr="0077427C">
        <w:rPr>
          <w:rFonts w:ascii="Times New Roman" w:hAnsi="Times New Roman"/>
          <w:sz w:val="26"/>
        </w:rPr>
        <w:tab/>
      </w:r>
    </w:p>
    <w:p w14:paraId="5F2FB0CF" w14:textId="77777777" w:rsidR="00765035" w:rsidRPr="0077427C" w:rsidRDefault="00765035" w:rsidP="00765035">
      <w:pPr>
        <w:spacing w:line="240" w:lineRule="auto"/>
        <w:rPr>
          <w:rFonts w:ascii="Times New Roman" w:hAnsi="Times New Roman"/>
          <w:sz w:val="26"/>
        </w:rPr>
      </w:pPr>
      <w:r w:rsidRPr="0077427C">
        <w:rPr>
          <w:rFonts w:ascii="Times New Roman" w:hAnsi="Times New Roman"/>
          <w:sz w:val="26"/>
        </w:rPr>
        <w:t>Il grafico seguente, tratto dal testo definitivo del PNIEC, mostra l'evoluzione delle emissioni ESR nei differenti scenari a confronto con i nuovi obiettivi ESR e con quelli precedenti.</w:t>
      </w:r>
    </w:p>
    <w:p w14:paraId="439EDE19" w14:textId="77777777" w:rsidR="00765035" w:rsidRPr="0077427C" w:rsidRDefault="00765035" w:rsidP="00765035">
      <w:pPr>
        <w:spacing w:line="240" w:lineRule="auto"/>
        <w:ind w:firstLine="0"/>
        <w:rPr>
          <w:rFonts w:ascii="Times New Roman" w:hAnsi="Times New Roman"/>
          <w:sz w:val="26"/>
        </w:rPr>
      </w:pPr>
    </w:p>
    <w:p w14:paraId="40BB4A4F" w14:textId="77777777" w:rsidR="00765035" w:rsidRPr="0077427C" w:rsidRDefault="00765035" w:rsidP="009A4070">
      <w:pPr>
        <w:spacing w:line="240" w:lineRule="auto"/>
        <w:ind w:firstLine="0"/>
        <w:jc w:val="center"/>
        <w:rPr>
          <w:rFonts w:ascii="Times New Roman" w:hAnsi="Times New Roman"/>
          <w:sz w:val="26"/>
        </w:rPr>
      </w:pPr>
      <w:r w:rsidRPr="0077427C">
        <w:rPr>
          <w:rFonts w:ascii="Times New Roman" w:hAnsi="Times New Roman"/>
          <w:noProof/>
          <w:sz w:val="26"/>
        </w:rPr>
        <w:drawing>
          <wp:inline distT="0" distB="0" distL="0" distR="0" wp14:anchorId="5B200264" wp14:editId="7608993B">
            <wp:extent cx="5039360" cy="3446145"/>
            <wp:effectExtent l="0" t="0" r="8890" b="1905"/>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039360" cy="3446145"/>
                    </a:xfrm>
                    <a:prstGeom prst="rect">
                      <a:avLst/>
                    </a:prstGeom>
                    <a:noFill/>
                    <a:ln>
                      <a:noFill/>
                    </a:ln>
                  </pic:spPr>
                </pic:pic>
              </a:graphicData>
            </a:graphic>
          </wp:inline>
        </w:drawing>
      </w:r>
    </w:p>
    <w:p w14:paraId="6C1EA1BF" w14:textId="77777777" w:rsidR="00765035" w:rsidRPr="0077427C" w:rsidRDefault="00765035" w:rsidP="00765035">
      <w:pPr>
        <w:spacing w:line="240" w:lineRule="auto"/>
        <w:ind w:firstLine="0"/>
        <w:rPr>
          <w:rFonts w:ascii="Times New Roman" w:hAnsi="Times New Roman"/>
          <w:sz w:val="26"/>
        </w:rPr>
      </w:pPr>
    </w:p>
    <w:p w14:paraId="6E300F8D" w14:textId="421DFAFD" w:rsidR="00765035" w:rsidRPr="0077427C" w:rsidRDefault="00765035" w:rsidP="00765035">
      <w:pPr>
        <w:spacing w:line="240" w:lineRule="auto"/>
        <w:rPr>
          <w:rFonts w:ascii="Times New Roman" w:hAnsi="Times New Roman"/>
          <w:sz w:val="26"/>
        </w:rPr>
      </w:pPr>
      <w:r w:rsidRPr="0077427C">
        <w:rPr>
          <w:rFonts w:ascii="Times New Roman" w:hAnsi="Times New Roman"/>
          <w:sz w:val="26"/>
        </w:rPr>
        <w:t xml:space="preserve">Considerato che, nonostante le politiche identificate nel PNIEC, si ravvisa ancora una certa distanza rispetto al nuovo obiettivo </w:t>
      </w:r>
      <w:proofErr w:type="spellStart"/>
      <w:r w:rsidRPr="0077427C">
        <w:rPr>
          <w:rFonts w:ascii="Times New Roman" w:hAnsi="Times New Roman"/>
          <w:i/>
          <w:sz w:val="26"/>
        </w:rPr>
        <w:t>Effort</w:t>
      </w:r>
      <w:proofErr w:type="spellEnd"/>
      <w:r w:rsidRPr="0077427C">
        <w:rPr>
          <w:rFonts w:ascii="Times New Roman" w:hAnsi="Times New Roman"/>
          <w:i/>
          <w:sz w:val="26"/>
        </w:rPr>
        <w:t xml:space="preserve"> sharing</w:t>
      </w:r>
      <w:r w:rsidRPr="0077427C">
        <w:rPr>
          <w:rFonts w:ascii="Times New Roman" w:hAnsi="Times New Roman"/>
          <w:sz w:val="26"/>
        </w:rPr>
        <w:t xml:space="preserve">, nel PNIEC si sottolinea che, per accelerare ulteriormente la riduzione delle emissioni nel settore civile, al fine del raggiungimento dell'obiettivo, si dovranno potenziare le politiche e le misure per promuovere l'efficienza energetica nel settore residenziale identificando nuovi strumenti per il coinvolgimento dei privati e del settore pubblico nella riqualificazione del parco edilizio esistente nazionale. </w:t>
      </w:r>
    </w:p>
    <w:p w14:paraId="44D1751B" w14:textId="77777777" w:rsidR="00765035" w:rsidRPr="0077427C" w:rsidRDefault="00765035" w:rsidP="00765035">
      <w:pPr>
        <w:spacing w:line="240" w:lineRule="auto"/>
        <w:rPr>
          <w:rFonts w:ascii="Times New Roman" w:hAnsi="Times New Roman"/>
          <w:sz w:val="26"/>
        </w:rPr>
      </w:pPr>
    </w:p>
    <w:p w14:paraId="32866167" w14:textId="28447CA9" w:rsidR="00765035" w:rsidRPr="0077427C" w:rsidRDefault="00765035" w:rsidP="00765035">
      <w:pPr>
        <w:spacing w:line="240" w:lineRule="auto"/>
        <w:rPr>
          <w:rFonts w:ascii="Times New Roman" w:hAnsi="Times New Roman"/>
          <w:sz w:val="26"/>
        </w:rPr>
      </w:pPr>
      <w:r w:rsidRPr="0077427C">
        <w:rPr>
          <w:rFonts w:ascii="Times New Roman" w:hAnsi="Times New Roman"/>
          <w:sz w:val="26"/>
        </w:rPr>
        <w:t>La seguente tabella, tratta dal PNIEC, mostra la stima degli investimenti complessivi richiesti per l'attuazione delle politiche aggiuntive previste dal PNIEC e il fabbisogno ("Delta") di investimenti. Per il settore residenziale tale fabbisogno è pari a 34,6 miliardi di euro (pari a circa il 20% del fabbisogno totale).</w:t>
      </w:r>
    </w:p>
    <w:p w14:paraId="68538907" w14:textId="77777777" w:rsidR="00765035" w:rsidRPr="0077427C" w:rsidRDefault="00765035" w:rsidP="00765035">
      <w:pPr>
        <w:spacing w:line="240" w:lineRule="auto"/>
        <w:rPr>
          <w:rFonts w:ascii="Times New Roman" w:hAnsi="Times New Roman"/>
          <w:sz w:val="26"/>
        </w:rPr>
      </w:pPr>
    </w:p>
    <w:p w14:paraId="67BCBEDC" w14:textId="77777777" w:rsidR="00765035" w:rsidRPr="0077427C" w:rsidRDefault="00765035" w:rsidP="009A4070">
      <w:pPr>
        <w:spacing w:line="240" w:lineRule="auto"/>
        <w:ind w:firstLine="0"/>
        <w:jc w:val="center"/>
        <w:rPr>
          <w:rFonts w:ascii="Times New Roman" w:hAnsi="Times New Roman"/>
          <w:sz w:val="26"/>
        </w:rPr>
      </w:pPr>
      <w:r w:rsidRPr="0077427C">
        <w:rPr>
          <w:rFonts w:ascii="Times New Roman" w:hAnsi="Times New Roman"/>
          <w:noProof/>
          <w:sz w:val="26"/>
        </w:rPr>
        <w:drawing>
          <wp:inline distT="0" distB="0" distL="0" distR="0" wp14:anchorId="42EB63A5" wp14:editId="5387CBAD">
            <wp:extent cx="4408227" cy="2708483"/>
            <wp:effectExtent l="0" t="0" r="0" b="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magine 12"/>
                    <pic:cNvPicPr/>
                  </pic:nvPicPr>
                  <pic:blipFill>
                    <a:blip r:embed="rId22">
                      <a:extLst>
                        <a:ext uri="{28A0092B-C50C-407E-A947-70E740481C1C}">
                          <a14:useLocalDpi xmlns:a14="http://schemas.microsoft.com/office/drawing/2010/main" val="0"/>
                        </a:ext>
                      </a:extLst>
                    </a:blip>
                    <a:stretch>
                      <a:fillRect/>
                    </a:stretch>
                  </pic:blipFill>
                  <pic:spPr>
                    <a:xfrm>
                      <a:off x="0" y="0"/>
                      <a:ext cx="4408227" cy="2708483"/>
                    </a:xfrm>
                    <a:prstGeom prst="rect">
                      <a:avLst/>
                    </a:prstGeom>
                  </pic:spPr>
                </pic:pic>
              </a:graphicData>
            </a:graphic>
          </wp:inline>
        </w:drawing>
      </w:r>
    </w:p>
    <w:p w14:paraId="4EF2FEA6" w14:textId="77777777" w:rsidR="00765035" w:rsidRPr="0077427C" w:rsidRDefault="00765035" w:rsidP="00765035">
      <w:pPr>
        <w:spacing w:line="240" w:lineRule="auto"/>
        <w:ind w:firstLine="0"/>
        <w:rPr>
          <w:rFonts w:ascii="Times New Roman" w:hAnsi="Times New Roman"/>
          <w:sz w:val="26"/>
        </w:rPr>
      </w:pPr>
    </w:p>
    <w:p w14:paraId="1551A7D1" w14:textId="77777777" w:rsidR="00D63209" w:rsidRPr="0077427C" w:rsidRDefault="00D63209">
      <w:pPr>
        <w:spacing w:after="160" w:line="259" w:lineRule="auto"/>
        <w:ind w:firstLine="0"/>
        <w:jc w:val="left"/>
        <w:rPr>
          <w:rFonts w:ascii="Times New Roman" w:hAnsi="Times New Roman"/>
          <w:b/>
          <w:sz w:val="26"/>
          <w:szCs w:val="26"/>
        </w:rPr>
      </w:pPr>
      <w:r w:rsidRPr="0077427C">
        <w:rPr>
          <w:rFonts w:ascii="Times New Roman" w:hAnsi="Times New Roman"/>
          <w:b/>
          <w:sz w:val="26"/>
          <w:szCs w:val="26"/>
        </w:rPr>
        <w:br w:type="page"/>
      </w:r>
    </w:p>
    <w:p w14:paraId="7034E949" w14:textId="13328CD6" w:rsidR="00ED16A6" w:rsidRPr="0077427C" w:rsidRDefault="00ED16A6" w:rsidP="00102E5B">
      <w:pPr>
        <w:pStyle w:val="Titolo1"/>
      </w:pPr>
      <w:bookmarkStart w:id="8" w:name="_Toc190697364"/>
      <w:r w:rsidRPr="0077427C">
        <w:t>3. SINTESI DELLE AUDIZIONI SVOLTE</w:t>
      </w:r>
      <w:r w:rsidR="001B2B3E" w:rsidRPr="0077427C">
        <w:t xml:space="preserve"> E DEI DOCUMENTI TRASMESSI</w:t>
      </w:r>
      <w:bookmarkEnd w:id="8"/>
    </w:p>
    <w:p w14:paraId="38E69BF1" w14:textId="77777777" w:rsidR="00ED16A6" w:rsidRPr="0077427C" w:rsidRDefault="00ED16A6" w:rsidP="00ED16A6">
      <w:pPr>
        <w:spacing w:line="240" w:lineRule="auto"/>
        <w:ind w:right="114"/>
        <w:rPr>
          <w:rFonts w:ascii="Times New Roman" w:hAnsi="Times New Roman"/>
          <w:sz w:val="26"/>
          <w:szCs w:val="26"/>
        </w:rPr>
      </w:pPr>
    </w:p>
    <w:p w14:paraId="01F9414C" w14:textId="77777777" w:rsidR="001B2B3E" w:rsidRPr="0077427C" w:rsidRDefault="001B2B3E" w:rsidP="00ED16A6">
      <w:pPr>
        <w:spacing w:line="240" w:lineRule="auto"/>
        <w:ind w:right="114"/>
        <w:rPr>
          <w:rFonts w:ascii="Times New Roman" w:hAnsi="Times New Roman"/>
          <w:b/>
          <w:sz w:val="26"/>
          <w:szCs w:val="26"/>
        </w:rPr>
      </w:pPr>
      <w:r w:rsidRPr="0077427C">
        <w:rPr>
          <w:rFonts w:ascii="Times New Roman" w:hAnsi="Times New Roman"/>
          <w:b/>
          <w:sz w:val="26"/>
          <w:szCs w:val="26"/>
        </w:rPr>
        <w:t>AUDIZIONI SVOLTE</w:t>
      </w:r>
    </w:p>
    <w:p w14:paraId="524AC4CB" w14:textId="77777777" w:rsidR="001B2B3E" w:rsidRPr="0077427C" w:rsidRDefault="001B2B3E" w:rsidP="00ED16A6">
      <w:pPr>
        <w:spacing w:line="240" w:lineRule="auto"/>
        <w:ind w:right="113"/>
        <w:rPr>
          <w:rFonts w:ascii="Times New Roman" w:hAnsi="Times New Roman"/>
          <w:b/>
          <w:sz w:val="26"/>
          <w:szCs w:val="26"/>
        </w:rPr>
      </w:pPr>
    </w:p>
    <w:p w14:paraId="196C84D4" w14:textId="77777777" w:rsidR="00ED16A6" w:rsidRPr="0077427C" w:rsidRDefault="009C2AB2" w:rsidP="00ED16A6">
      <w:pPr>
        <w:spacing w:line="240" w:lineRule="auto"/>
        <w:ind w:right="113"/>
        <w:rPr>
          <w:rFonts w:ascii="Times New Roman" w:hAnsi="Times New Roman"/>
          <w:i/>
          <w:sz w:val="26"/>
          <w:szCs w:val="26"/>
        </w:rPr>
      </w:pPr>
      <w:r w:rsidRPr="0077427C">
        <w:rPr>
          <w:rFonts w:ascii="Times New Roman" w:hAnsi="Times New Roman"/>
          <w:b/>
          <w:sz w:val="26"/>
          <w:szCs w:val="26"/>
        </w:rPr>
        <w:t>Amici della Terra</w:t>
      </w:r>
      <w:r w:rsidR="00371480" w:rsidRPr="0077427C">
        <w:rPr>
          <w:rFonts w:ascii="Times New Roman" w:hAnsi="Times New Roman"/>
          <w:i/>
          <w:sz w:val="26"/>
          <w:szCs w:val="26"/>
        </w:rPr>
        <w:t xml:space="preserve"> </w:t>
      </w:r>
    </w:p>
    <w:p w14:paraId="733084C4" w14:textId="77777777" w:rsidR="006F6EB0" w:rsidRPr="0077427C" w:rsidRDefault="006F6EB0" w:rsidP="006F6EB0">
      <w:pPr>
        <w:spacing w:line="240" w:lineRule="auto"/>
        <w:ind w:right="113"/>
        <w:rPr>
          <w:rFonts w:ascii="Times New Roman" w:hAnsi="Times New Roman"/>
          <w:sz w:val="26"/>
          <w:szCs w:val="26"/>
        </w:rPr>
      </w:pPr>
      <w:bookmarkStart w:id="9" w:name="_Toc319077176"/>
      <w:bookmarkStart w:id="10" w:name="_Toc329706130"/>
      <w:bookmarkStart w:id="11" w:name="_Toc432156458"/>
      <w:r w:rsidRPr="0077427C">
        <w:rPr>
          <w:rFonts w:ascii="Times New Roman" w:hAnsi="Times New Roman"/>
          <w:sz w:val="26"/>
          <w:szCs w:val="26"/>
        </w:rPr>
        <w:t xml:space="preserve">Nel corso dell’audizione del 28 marzo 2023, è stato </w:t>
      </w:r>
      <w:r w:rsidR="009C2AB2" w:rsidRPr="0077427C">
        <w:rPr>
          <w:rFonts w:ascii="Times New Roman" w:hAnsi="Times New Roman"/>
          <w:sz w:val="26"/>
          <w:szCs w:val="26"/>
        </w:rPr>
        <w:t xml:space="preserve">ricordato che nel settore residenziale tra il 1990 e il 2021 i consumi di energia sono aumentati di circa il 18 per cento; tuttavia, dal 2010, tali consumi si sono ridotti grazie ad interventi normativi e fiscali, volti al miglioramento dell'efficienza energetica. Non appare però raggiungibile </w:t>
      </w:r>
      <w:r w:rsidRPr="0077427C">
        <w:rPr>
          <w:rFonts w:ascii="Times New Roman" w:hAnsi="Times New Roman"/>
          <w:sz w:val="26"/>
          <w:szCs w:val="26"/>
        </w:rPr>
        <w:t xml:space="preserve">entro il 2030 </w:t>
      </w:r>
      <w:r w:rsidR="009C2AB2" w:rsidRPr="0077427C">
        <w:rPr>
          <w:rFonts w:ascii="Times New Roman" w:hAnsi="Times New Roman"/>
          <w:sz w:val="26"/>
          <w:szCs w:val="26"/>
        </w:rPr>
        <w:t xml:space="preserve">l’obiettivo previsto dalla </w:t>
      </w:r>
      <w:r w:rsidRPr="0077427C">
        <w:rPr>
          <w:rFonts w:ascii="Times New Roman" w:hAnsi="Times New Roman"/>
          <w:sz w:val="26"/>
          <w:szCs w:val="26"/>
        </w:rPr>
        <w:t xml:space="preserve">nuova </w:t>
      </w:r>
      <w:r w:rsidR="009C2AB2" w:rsidRPr="0077427C">
        <w:rPr>
          <w:rFonts w:ascii="Times New Roman" w:hAnsi="Times New Roman"/>
          <w:sz w:val="26"/>
          <w:szCs w:val="26"/>
        </w:rPr>
        <w:t xml:space="preserve">direttiva </w:t>
      </w:r>
      <w:r w:rsidRPr="0077427C">
        <w:rPr>
          <w:rFonts w:ascii="Times New Roman" w:hAnsi="Times New Roman"/>
          <w:sz w:val="26"/>
          <w:szCs w:val="26"/>
        </w:rPr>
        <w:t>dell’</w:t>
      </w:r>
      <w:r w:rsidR="009C2AB2" w:rsidRPr="0077427C">
        <w:rPr>
          <w:rFonts w:ascii="Times New Roman" w:hAnsi="Times New Roman"/>
          <w:sz w:val="26"/>
          <w:szCs w:val="26"/>
        </w:rPr>
        <w:t>U</w:t>
      </w:r>
      <w:r w:rsidRPr="0077427C">
        <w:rPr>
          <w:rFonts w:ascii="Times New Roman" w:hAnsi="Times New Roman"/>
          <w:sz w:val="26"/>
          <w:szCs w:val="26"/>
        </w:rPr>
        <w:t xml:space="preserve">nione europea </w:t>
      </w:r>
      <w:r w:rsidR="009C2AB2" w:rsidRPr="0077427C">
        <w:rPr>
          <w:rFonts w:ascii="Times New Roman" w:hAnsi="Times New Roman"/>
          <w:sz w:val="26"/>
          <w:szCs w:val="26"/>
        </w:rPr>
        <w:t xml:space="preserve">sulla </w:t>
      </w:r>
      <w:r w:rsidRPr="0077427C">
        <w:rPr>
          <w:rFonts w:ascii="Times New Roman" w:hAnsi="Times New Roman"/>
          <w:sz w:val="26"/>
          <w:szCs w:val="26"/>
        </w:rPr>
        <w:t>prestazione energetica nell’edilizia</w:t>
      </w:r>
      <w:r w:rsidR="009C2AB2" w:rsidRPr="0077427C">
        <w:rPr>
          <w:rFonts w:ascii="Times New Roman" w:hAnsi="Times New Roman"/>
          <w:sz w:val="26"/>
          <w:szCs w:val="26"/>
        </w:rPr>
        <w:t xml:space="preserve">. </w:t>
      </w:r>
      <w:r w:rsidRPr="0077427C">
        <w:rPr>
          <w:rFonts w:ascii="Times New Roman" w:hAnsi="Times New Roman"/>
          <w:sz w:val="26"/>
          <w:szCs w:val="26"/>
        </w:rPr>
        <w:t>Si r</w:t>
      </w:r>
      <w:r w:rsidR="009C2AB2" w:rsidRPr="0077427C">
        <w:rPr>
          <w:rFonts w:ascii="Times New Roman" w:hAnsi="Times New Roman"/>
          <w:sz w:val="26"/>
          <w:szCs w:val="26"/>
        </w:rPr>
        <w:t xml:space="preserve">itiene quindi importante </w:t>
      </w:r>
      <w:r w:rsidR="00C10B5C" w:rsidRPr="0077427C">
        <w:rPr>
          <w:rFonts w:ascii="Times New Roman" w:hAnsi="Times New Roman"/>
          <w:sz w:val="26"/>
          <w:szCs w:val="26"/>
        </w:rPr>
        <w:t>che venga varato</w:t>
      </w:r>
      <w:r w:rsidR="009C2AB2" w:rsidRPr="0077427C">
        <w:rPr>
          <w:rFonts w:ascii="Times New Roman" w:hAnsi="Times New Roman"/>
          <w:sz w:val="26"/>
          <w:szCs w:val="26"/>
        </w:rPr>
        <w:t xml:space="preserve"> un programma di lungo periodo con strumenti di sostegno e interventi di riqualificazione energetica degli edifici basato sulle detrazioni fiscali, senza escludere le cessioni del credito e gli sconti in fattur</w:t>
      </w:r>
      <w:r w:rsidR="00472436" w:rsidRPr="0077427C">
        <w:rPr>
          <w:rFonts w:ascii="Times New Roman" w:hAnsi="Times New Roman"/>
          <w:sz w:val="26"/>
          <w:szCs w:val="26"/>
        </w:rPr>
        <w:t>a opportunamente gestiti</w:t>
      </w:r>
      <w:r w:rsidR="009C2AB2" w:rsidRPr="0077427C">
        <w:rPr>
          <w:rFonts w:ascii="Times New Roman" w:hAnsi="Times New Roman"/>
          <w:sz w:val="26"/>
          <w:szCs w:val="26"/>
        </w:rPr>
        <w:t>, con una partecipazione alla spesa</w:t>
      </w:r>
      <w:r w:rsidR="00843EF6" w:rsidRPr="0077427C">
        <w:rPr>
          <w:rFonts w:ascii="Times New Roman" w:hAnsi="Times New Roman"/>
          <w:sz w:val="26"/>
          <w:szCs w:val="26"/>
        </w:rPr>
        <w:t xml:space="preserve"> e interventi basati su una diagnosi energetica a monte</w:t>
      </w:r>
      <w:r w:rsidR="009C2AB2" w:rsidRPr="0077427C">
        <w:rPr>
          <w:rFonts w:ascii="Times New Roman" w:hAnsi="Times New Roman"/>
          <w:sz w:val="26"/>
          <w:szCs w:val="26"/>
        </w:rPr>
        <w:t xml:space="preserve">. </w:t>
      </w:r>
    </w:p>
    <w:p w14:paraId="2762458C" w14:textId="77777777" w:rsidR="009C2AB2" w:rsidRPr="0077427C" w:rsidRDefault="009C2AB2" w:rsidP="006F6EB0">
      <w:pPr>
        <w:spacing w:line="240" w:lineRule="auto"/>
        <w:ind w:right="113"/>
        <w:rPr>
          <w:rFonts w:ascii="Times New Roman" w:hAnsi="Times New Roman"/>
          <w:sz w:val="26"/>
          <w:szCs w:val="26"/>
        </w:rPr>
      </w:pPr>
      <w:r w:rsidRPr="0077427C">
        <w:rPr>
          <w:rFonts w:ascii="Times New Roman" w:hAnsi="Times New Roman"/>
          <w:sz w:val="26"/>
          <w:szCs w:val="26"/>
        </w:rPr>
        <w:t xml:space="preserve">Sarebbe quindi necessario un </w:t>
      </w:r>
      <w:r w:rsidR="0062798A" w:rsidRPr="0077427C">
        <w:rPr>
          <w:rFonts w:ascii="Times New Roman" w:hAnsi="Times New Roman"/>
          <w:sz w:val="26"/>
          <w:szCs w:val="26"/>
        </w:rPr>
        <w:t>t</w:t>
      </w:r>
      <w:r w:rsidRPr="0077427C">
        <w:rPr>
          <w:rFonts w:ascii="Times New Roman" w:hAnsi="Times New Roman"/>
          <w:sz w:val="26"/>
          <w:szCs w:val="26"/>
        </w:rPr>
        <w:t xml:space="preserve">esto </w:t>
      </w:r>
      <w:r w:rsidR="0062798A" w:rsidRPr="0077427C">
        <w:rPr>
          <w:rFonts w:ascii="Times New Roman" w:hAnsi="Times New Roman"/>
          <w:sz w:val="26"/>
          <w:szCs w:val="26"/>
        </w:rPr>
        <w:t>u</w:t>
      </w:r>
      <w:r w:rsidRPr="0077427C">
        <w:rPr>
          <w:rFonts w:ascii="Times New Roman" w:hAnsi="Times New Roman"/>
          <w:sz w:val="26"/>
          <w:szCs w:val="26"/>
        </w:rPr>
        <w:t xml:space="preserve">nico per: 1) assicurare una maggiore sostenibilità nel tempo degli investimenti, da ottenersi tramite una rimodulazione della quota incentivata e un progressivo accorpamento nel tempo; 2) favorire l’estensione del principio </w:t>
      </w:r>
      <w:r w:rsidR="006F6EB0" w:rsidRPr="0077427C">
        <w:rPr>
          <w:rFonts w:ascii="Times New Roman" w:hAnsi="Times New Roman"/>
          <w:sz w:val="26"/>
          <w:szCs w:val="26"/>
        </w:rPr>
        <w:t xml:space="preserve">delle </w:t>
      </w:r>
      <w:r w:rsidRPr="0077427C">
        <w:rPr>
          <w:rFonts w:ascii="Times New Roman" w:hAnsi="Times New Roman"/>
          <w:sz w:val="26"/>
          <w:szCs w:val="26"/>
        </w:rPr>
        <w:t xml:space="preserve">diverse aliquote di detrazione in funzione delle </w:t>
      </w:r>
      <w:r w:rsidRPr="0077427C">
        <w:rPr>
          <w:rFonts w:ascii="Times New Roman" w:hAnsi="Times New Roman"/>
          <w:i/>
          <w:sz w:val="26"/>
          <w:szCs w:val="26"/>
        </w:rPr>
        <w:t>performance</w:t>
      </w:r>
      <w:r w:rsidRPr="0077427C">
        <w:rPr>
          <w:rFonts w:ascii="Times New Roman" w:hAnsi="Times New Roman"/>
          <w:sz w:val="26"/>
          <w:szCs w:val="26"/>
        </w:rPr>
        <w:t xml:space="preserve"> generali raggiunte da ciascun edificio</w:t>
      </w:r>
      <w:r w:rsidR="006F6EB0" w:rsidRPr="0077427C">
        <w:rPr>
          <w:rFonts w:ascii="Times New Roman" w:hAnsi="Times New Roman"/>
          <w:sz w:val="26"/>
          <w:szCs w:val="26"/>
        </w:rPr>
        <w:t xml:space="preserve"> </w:t>
      </w:r>
      <w:r w:rsidRPr="0077427C">
        <w:rPr>
          <w:rFonts w:ascii="Times New Roman" w:hAnsi="Times New Roman"/>
          <w:sz w:val="26"/>
          <w:szCs w:val="26"/>
        </w:rPr>
        <w:t xml:space="preserve">e della tecnologia utilizzata; 3) estendere sino al 2030, tramite opportuni provvedimenti legislativi, l’attuale data di scadenza dei diversi bonus, così da assicurare un sostegno pianificato al raggiungimento degli obiettivi di decarbonizzazione fissati per quella data; 4) garantire un’ulteriore semplicità di accesso (semplificazione di adempimenti burocratici) da parte degli utenti finali. </w:t>
      </w:r>
    </w:p>
    <w:p w14:paraId="0012C688" w14:textId="77777777" w:rsidR="009C2AB2" w:rsidRPr="0077427C" w:rsidRDefault="009C2AB2" w:rsidP="009C2AB2">
      <w:pPr>
        <w:ind w:firstLine="0"/>
        <w:rPr>
          <w:rFonts w:ascii="Times New Roman" w:hAnsi="Times New Roman"/>
          <w:b/>
          <w:sz w:val="26"/>
          <w:szCs w:val="26"/>
        </w:rPr>
      </w:pPr>
    </w:p>
    <w:p w14:paraId="6B570B7F" w14:textId="77777777" w:rsidR="009C2AB2" w:rsidRPr="0077427C" w:rsidRDefault="009C2AB2" w:rsidP="009C2AB2">
      <w:pPr>
        <w:ind w:firstLine="0"/>
        <w:rPr>
          <w:rFonts w:ascii="Times New Roman" w:hAnsi="Times New Roman"/>
          <w:b/>
          <w:sz w:val="26"/>
          <w:szCs w:val="26"/>
        </w:rPr>
      </w:pPr>
    </w:p>
    <w:p w14:paraId="0560FAE8" w14:textId="77777777" w:rsidR="009C2AB2" w:rsidRPr="0077427C" w:rsidRDefault="0062798A" w:rsidP="009C2AB2">
      <w:pPr>
        <w:spacing w:line="240" w:lineRule="auto"/>
        <w:ind w:right="113"/>
        <w:rPr>
          <w:rFonts w:ascii="Times New Roman" w:hAnsi="Times New Roman"/>
          <w:b/>
          <w:sz w:val="26"/>
          <w:szCs w:val="26"/>
        </w:rPr>
      </w:pPr>
      <w:r w:rsidRPr="0077427C">
        <w:rPr>
          <w:rFonts w:ascii="Times New Roman" w:hAnsi="Times New Roman"/>
          <w:b/>
          <w:sz w:val="26"/>
          <w:szCs w:val="26"/>
        </w:rPr>
        <w:t>WWF</w:t>
      </w:r>
    </w:p>
    <w:p w14:paraId="74864974" w14:textId="77777777" w:rsidR="009C2AB2" w:rsidRPr="0077427C" w:rsidRDefault="0062798A" w:rsidP="009C2AB2">
      <w:pPr>
        <w:rPr>
          <w:rFonts w:ascii="Times New Roman" w:hAnsi="Times New Roman"/>
          <w:sz w:val="26"/>
          <w:szCs w:val="26"/>
        </w:rPr>
      </w:pPr>
      <w:r w:rsidRPr="0077427C">
        <w:rPr>
          <w:rFonts w:ascii="Times New Roman" w:hAnsi="Times New Roman"/>
          <w:sz w:val="26"/>
          <w:szCs w:val="26"/>
        </w:rPr>
        <w:t>Nel corso dell’audizione del 28 marzo 2023, è stata</w:t>
      </w:r>
      <w:r w:rsidR="009C2AB2" w:rsidRPr="0077427C">
        <w:rPr>
          <w:rFonts w:ascii="Times New Roman" w:hAnsi="Times New Roman"/>
          <w:sz w:val="26"/>
          <w:szCs w:val="26"/>
        </w:rPr>
        <w:t xml:space="preserve"> sottolineat</w:t>
      </w:r>
      <w:r w:rsidRPr="0077427C">
        <w:rPr>
          <w:rFonts w:ascii="Times New Roman" w:hAnsi="Times New Roman"/>
          <w:sz w:val="26"/>
          <w:szCs w:val="26"/>
        </w:rPr>
        <w:t>a</w:t>
      </w:r>
      <w:r w:rsidR="009C2AB2" w:rsidRPr="0077427C">
        <w:rPr>
          <w:rFonts w:ascii="Times New Roman" w:hAnsi="Times New Roman"/>
          <w:sz w:val="26"/>
          <w:szCs w:val="26"/>
        </w:rPr>
        <w:t xml:space="preserve"> l’importanza di un’incentivazione efficace ed equa dell’efficientamento energetico del patrimonio edilizio, anche in considerazione del fatto che questo, nel suo complesso, è responsabile di quasi il 39% delle emissioni di CO2 nazionali (30% se si considera il solo residenziale). </w:t>
      </w:r>
      <w:r w:rsidRPr="0077427C">
        <w:rPr>
          <w:rFonts w:ascii="Times New Roman" w:hAnsi="Times New Roman"/>
          <w:sz w:val="26"/>
          <w:szCs w:val="26"/>
        </w:rPr>
        <w:t>Si r</w:t>
      </w:r>
      <w:r w:rsidR="009C2AB2" w:rsidRPr="0077427C">
        <w:rPr>
          <w:rFonts w:ascii="Times New Roman" w:hAnsi="Times New Roman"/>
          <w:sz w:val="26"/>
          <w:szCs w:val="26"/>
        </w:rPr>
        <w:t>itiene</w:t>
      </w:r>
      <w:r w:rsidRPr="0077427C">
        <w:rPr>
          <w:rFonts w:ascii="Times New Roman" w:hAnsi="Times New Roman"/>
          <w:sz w:val="26"/>
          <w:szCs w:val="26"/>
        </w:rPr>
        <w:t xml:space="preserve"> opportuno cercare di addivenire a modalità che consentano la programmazione degli interventi, privilegiando una forte detrazione fiscale e beneficiando le categorie meno abbienti</w:t>
      </w:r>
      <w:r w:rsidR="009C2AB2" w:rsidRPr="0077427C">
        <w:rPr>
          <w:rFonts w:ascii="Times New Roman" w:hAnsi="Times New Roman"/>
          <w:sz w:val="26"/>
          <w:szCs w:val="26"/>
        </w:rPr>
        <w:t xml:space="preserve">, </w:t>
      </w:r>
      <w:r w:rsidRPr="0077427C">
        <w:rPr>
          <w:rFonts w:ascii="Times New Roman" w:hAnsi="Times New Roman"/>
          <w:sz w:val="26"/>
          <w:szCs w:val="26"/>
        </w:rPr>
        <w:t>prevede</w:t>
      </w:r>
      <w:r w:rsidR="009C2AB2" w:rsidRPr="0077427C">
        <w:rPr>
          <w:rFonts w:ascii="Times New Roman" w:hAnsi="Times New Roman"/>
          <w:sz w:val="26"/>
          <w:szCs w:val="26"/>
        </w:rPr>
        <w:t>ndo incentivi strutturali e non estemporanei, fissando a livello nazionale un tetto ragionevole di spesa annua compatibile con le finanze dello Stato. Una seria e strutturale programmazione degli interventi di riqualificazion</w:t>
      </w:r>
      <w:r w:rsidR="00C10B5C" w:rsidRPr="0077427C">
        <w:rPr>
          <w:rFonts w:ascii="Times New Roman" w:hAnsi="Times New Roman"/>
          <w:sz w:val="26"/>
          <w:szCs w:val="26"/>
        </w:rPr>
        <w:t>e energetica, supportata con un’</w:t>
      </w:r>
      <w:r w:rsidR="009C2AB2" w:rsidRPr="0077427C">
        <w:rPr>
          <w:rFonts w:ascii="Times New Roman" w:hAnsi="Times New Roman"/>
          <w:sz w:val="26"/>
          <w:szCs w:val="26"/>
        </w:rPr>
        <w:t>incentivazione adeguata, oltre ai benefici in termini di riduzione delle emissioni di gas serra, avrebbe anche altri benefici ambientali, come il miglioramento della qualità dell’aria.</w:t>
      </w:r>
    </w:p>
    <w:p w14:paraId="5EBCE9AA" w14:textId="77777777" w:rsidR="009C2AB2" w:rsidRPr="0077427C" w:rsidRDefault="009C2AB2" w:rsidP="009C2AB2">
      <w:pPr>
        <w:rPr>
          <w:rFonts w:ascii="Times New Roman" w:hAnsi="Times New Roman"/>
          <w:sz w:val="26"/>
          <w:szCs w:val="26"/>
        </w:rPr>
      </w:pPr>
      <w:r w:rsidRPr="0077427C">
        <w:rPr>
          <w:rFonts w:ascii="Times New Roman" w:hAnsi="Times New Roman"/>
          <w:sz w:val="26"/>
          <w:szCs w:val="26"/>
        </w:rPr>
        <w:t xml:space="preserve">Il WWF ha sottolineato, inoltre, </w:t>
      </w:r>
      <w:r w:rsidR="00B46F2B" w:rsidRPr="0077427C">
        <w:rPr>
          <w:rFonts w:ascii="Times New Roman" w:hAnsi="Times New Roman"/>
          <w:sz w:val="26"/>
          <w:szCs w:val="26"/>
        </w:rPr>
        <w:t xml:space="preserve">l’importanza della </w:t>
      </w:r>
      <w:r w:rsidRPr="0077427C">
        <w:rPr>
          <w:rFonts w:ascii="Times New Roman" w:hAnsi="Times New Roman"/>
          <w:sz w:val="26"/>
          <w:szCs w:val="26"/>
        </w:rPr>
        <w:t>riqualificazione energetica degli edifici pubblici</w:t>
      </w:r>
      <w:r w:rsidR="00B46F2B" w:rsidRPr="0077427C">
        <w:rPr>
          <w:rFonts w:ascii="Times New Roman" w:hAnsi="Times New Roman"/>
          <w:sz w:val="26"/>
          <w:szCs w:val="26"/>
        </w:rPr>
        <w:t xml:space="preserve"> nella nuova direttiva europea</w:t>
      </w:r>
      <w:r w:rsidRPr="0077427C">
        <w:rPr>
          <w:rFonts w:ascii="Times New Roman" w:hAnsi="Times New Roman"/>
          <w:sz w:val="26"/>
          <w:szCs w:val="26"/>
        </w:rPr>
        <w:t>, per cui ann</w:t>
      </w:r>
      <w:r w:rsidR="00C10B5C" w:rsidRPr="0077427C">
        <w:rPr>
          <w:rFonts w:ascii="Times New Roman" w:hAnsi="Times New Roman"/>
          <w:sz w:val="26"/>
          <w:szCs w:val="26"/>
        </w:rPr>
        <w:t xml:space="preserve">ualmente almeno il 3% </w:t>
      </w:r>
      <w:r w:rsidRPr="0077427C">
        <w:rPr>
          <w:rFonts w:ascii="Times New Roman" w:hAnsi="Times New Roman"/>
          <w:sz w:val="26"/>
          <w:szCs w:val="26"/>
        </w:rPr>
        <w:t xml:space="preserve">del patrimonio edilizio pubblico deve essere trasformato in edifici a energia quasi zero o a emissioni zero. In tal senso, andranno previsti adeguati aiuti utilizzando gli stessi fondi europei, per i </w:t>
      </w:r>
      <w:r w:rsidR="00B46F2B" w:rsidRPr="0077427C">
        <w:rPr>
          <w:rFonts w:ascii="Times New Roman" w:hAnsi="Times New Roman"/>
          <w:sz w:val="26"/>
          <w:szCs w:val="26"/>
        </w:rPr>
        <w:t>c</w:t>
      </w:r>
      <w:r w:rsidRPr="0077427C">
        <w:rPr>
          <w:rFonts w:ascii="Times New Roman" w:hAnsi="Times New Roman"/>
          <w:sz w:val="26"/>
          <w:szCs w:val="26"/>
        </w:rPr>
        <w:t>omuni e gli altri enti proprietari.</w:t>
      </w:r>
      <w:r w:rsidR="006B37C8" w:rsidRPr="0077427C">
        <w:rPr>
          <w:rFonts w:ascii="Times New Roman" w:hAnsi="Times New Roman"/>
          <w:sz w:val="26"/>
          <w:szCs w:val="26"/>
        </w:rPr>
        <w:t xml:space="preserve"> </w:t>
      </w:r>
    </w:p>
    <w:p w14:paraId="105D08C9" w14:textId="77777777" w:rsidR="009C2AB2" w:rsidRPr="0077427C" w:rsidRDefault="006B37C8" w:rsidP="00347A23">
      <w:pPr>
        <w:rPr>
          <w:rFonts w:ascii="Times New Roman" w:hAnsi="Times New Roman"/>
          <w:sz w:val="26"/>
          <w:szCs w:val="26"/>
        </w:rPr>
      </w:pPr>
      <w:r w:rsidRPr="0077427C">
        <w:rPr>
          <w:rFonts w:ascii="Times New Roman" w:hAnsi="Times New Roman"/>
          <w:sz w:val="26"/>
          <w:szCs w:val="26"/>
        </w:rPr>
        <w:t xml:space="preserve">Da ultimo, è stata evidenziata l’importanza dell’elettrificazione </w:t>
      </w:r>
      <w:r w:rsidR="00586F46" w:rsidRPr="0077427C">
        <w:rPr>
          <w:rFonts w:ascii="Times New Roman" w:hAnsi="Times New Roman"/>
          <w:sz w:val="26"/>
          <w:szCs w:val="26"/>
        </w:rPr>
        <w:t>se si vuole puntare davvero a edifici a emissioni zero.</w:t>
      </w:r>
    </w:p>
    <w:p w14:paraId="5C26BB51" w14:textId="77777777" w:rsidR="009C2AB2" w:rsidRPr="0077427C" w:rsidRDefault="009C2AB2" w:rsidP="009C2AB2">
      <w:pPr>
        <w:ind w:firstLine="0"/>
        <w:rPr>
          <w:rFonts w:ascii="Times New Roman" w:hAnsi="Times New Roman"/>
          <w:sz w:val="26"/>
          <w:szCs w:val="26"/>
        </w:rPr>
      </w:pPr>
    </w:p>
    <w:p w14:paraId="54ED0A63" w14:textId="77777777" w:rsidR="009C2AB2" w:rsidRPr="0077427C" w:rsidRDefault="009C2AB2" w:rsidP="009C2AB2">
      <w:pPr>
        <w:spacing w:line="240" w:lineRule="auto"/>
        <w:ind w:right="113"/>
        <w:rPr>
          <w:rFonts w:ascii="Times New Roman" w:hAnsi="Times New Roman"/>
          <w:i/>
          <w:sz w:val="26"/>
          <w:szCs w:val="26"/>
        </w:rPr>
      </w:pPr>
      <w:r w:rsidRPr="0077427C">
        <w:rPr>
          <w:rFonts w:ascii="Times New Roman" w:hAnsi="Times New Roman"/>
          <w:b/>
          <w:sz w:val="26"/>
          <w:szCs w:val="26"/>
        </w:rPr>
        <w:t>Rete imprese Maestri costruttori</w:t>
      </w:r>
      <w:r w:rsidR="00371480" w:rsidRPr="0077427C">
        <w:rPr>
          <w:rFonts w:ascii="Times New Roman" w:hAnsi="Times New Roman"/>
          <w:b/>
          <w:sz w:val="26"/>
          <w:szCs w:val="26"/>
        </w:rPr>
        <w:t xml:space="preserve"> </w:t>
      </w:r>
    </w:p>
    <w:p w14:paraId="24B44A63" w14:textId="4025C6DC" w:rsidR="00E203C5" w:rsidRPr="0077427C" w:rsidRDefault="00E203C5" w:rsidP="009C2AB2">
      <w:pPr>
        <w:rPr>
          <w:rFonts w:ascii="Times New Roman" w:hAnsi="Times New Roman"/>
          <w:sz w:val="26"/>
          <w:szCs w:val="26"/>
        </w:rPr>
      </w:pPr>
      <w:r w:rsidRPr="0077427C">
        <w:rPr>
          <w:rFonts w:ascii="Times New Roman" w:hAnsi="Times New Roman"/>
          <w:sz w:val="26"/>
          <w:szCs w:val="26"/>
        </w:rPr>
        <w:t>Nell’audizione del 28 marzo 2023</w:t>
      </w:r>
      <w:r w:rsidR="009C2AB2" w:rsidRPr="0077427C">
        <w:rPr>
          <w:rFonts w:ascii="Times New Roman" w:hAnsi="Times New Roman"/>
          <w:sz w:val="26"/>
          <w:szCs w:val="26"/>
        </w:rPr>
        <w:t xml:space="preserve">, dopo aver ricordato che l'inquinamento derivante dalle abitazioni civili o comunque dall'abitato in generale, è molto rilevante se non una delle maggiori cause dell'inquinamento atmosferico, e che molti degli edifici sono in classe energetica molto bassa, </w:t>
      </w:r>
      <w:r w:rsidRPr="0077427C">
        <w:rPr>
          <w:rFonts w:ascii="Times New Roman" w:hAnsi="Times New Roman"/>
          <w:sz w:val="26"/>
          <w:szCs w:val="26"/>
        </w:rPr>
        <w:t>è stata</w:t>
      </w:r>
      <w:r w:rsidR="009C2AB2" w:rsidRPr="0077427C">
        <w:rPr>
          <w:rFonts w:ascii="Times New Roman" w:hAnsi="Times New Roman"/>
          <w:sz w:val="26"/>
          <w:szCs w:val="26"/>
        </w:rPr>
        <w:t xml:space="preserve"> evidenziat</w:t>
      </w:r>
      <w:r w:rsidRPr="0077427C">
        <w:rPr>
          <w:rFonts w:ascii="Times New Roman" w:hAnsi="Times New Roman"/>
          <w:sz w:val="26"/>
          <w:szCs w:val="26"/>
        </w:rPr>
        <w:t>a</w:t>
      </w:r>
      <w:r w:rsidR="009C2AB2" w:rsidRPr="0077427C">
        <w:rPr>
          <w:rFonts w:ascii="Times New Roman" w:hAnsi="Times New Roman"/>
          <w:sz w:val="26"/>
          <w:szCs w:val="26"/>
        </w:rPr>
        <w:t xml:space="preserve"> la necessità di proseguire e implementare le politiche di riqualificazione energetica ed antisismica. </w:t>
      </w:r>
      <w:r w:rsidRPr="0077427C">
        <w:rPr>
          <w:rFonts w:ascii="Times New Roman" w:hAnsi="Times New Roman"/>
          <w:sz w:val="26"/>
          <w:szCs w:val="26"/>
        </w:rPr>
        <w:t>Sono stati</w:t>
      </w:r>
      <w:r w:rsidR="009C2AB2" w:rsidRPr="0077427C">
        <w:rPr>
          <w:rFonts w:ascii="Times New Roman" w:hAnsi="Times New Roman"/>
          <w:sz w:val="26"/>
          <w:szCs w:val="26"/>
        </w:rPr>
        <w:t xml:space="preserve"> sottolineat</w:t>
      </w:r>
      <w:r w:rsidRPr="0077427C">
        <w:rPr>
          <w:rFonts w:ascii="Times New Roman" w:hAnsi="Times New Roman"/>
          <w:sz w:val="26"/>
          <w:szCs w:val="26"/>
        </w:rPr>
        <w:t>i</w:t>
      </w:r>
      <w:r w:rsidR="009C2AB2" w:rsidRPr="0077427C">
        <w:rPr>
          <w:rFonts w:ascii="Times New Roman" w:hAnsi="Times New Roman"/>
          <w:sz w:val="26"/>
          <w:szCs w:val="26"/>
        </w:rPr>
        <w:t xml:space="preserve"> gli effetti positivi in generale di tutti i bonus edilizi, in particolare di quelli cosiddetti ordinari, che </w:t>
      </w:r>
      <w:r w:rsidRPr="0077427C">
        <w:rPr>
          <w:rFonts w:ascii="Times New Roman" w:hAnsi="Times New Roman"/>
          <w:sz w:val="26"/>
          <w:szCs w:val="26"/>
        </w:rPr>
        <w:t>sono</w:t>
      </w:r>
      <w:r w:rsidR="009C2AB2" w:rsidRPr="0077427C">
        <w:rPr>
          <w:rFonts w:ascii="Times New Roman" w:hAnsi="Times New Roman"/>
          <w:sz w:val="26"/>
          <w:szCs w:val="26"/>
        </w:rPr>
        <w:t xml:space="preserve"> tra l'altro anche più sostenibili dal punto di vista finanziario, in quanto caratterizzati da aliquote dal 50 al 65 e al 75 per cento </w:t>
      </w:r>
      <w:r w:rsidRPr="0077427C">
        <w:rPr>
          <w:rFonts w:ascii="Times New Roman" w:hAnsi="Times New Roman"/>
          <w:sz w:val="26"/>
          <w:szCs w:val="26"/>
        </w:rPr>
        <w:t xml:space="preserve">e </w:t>
      </w:r>
      <w:r w:rsidR="00DD4058" w:rsidRPr="0077427C">
        <w:rPr>
          <w:rFonts w:ascii="Times New Roman" w:hAnsi="Times New Roman"/>
          <w:sz w:val="26"/>
          <w:szCs w:val="26"/>
        </w:rPr>
        <w:t>dal</w:t>
      </w:r>
      <w:r w:rsidR="009C2AB2" w:rsidRPr="0077427C">
        <w:rPr>
          <w:rFonts w:ascii="Times New Roman" w:hAnsi="Times New Roman"/>
          <w:sz w:val="26"/>
          <w:szCs w:val="26"/>
        </w:rPr>
        <w:t xml:space="preserve">la contribuzione da parte dei singoli committenti. </w:t>
      </w:r>
      <w:r w:rsidR="00DD4058" w:rsidRPr="0077427C">
        <w:rPr>
          <w:rFonts w:ascii="Times New Roman" w:hAnsi="Times New Roman"/>
          <w:sz w:val="26"/>
          <w:szCs w:val="26"/>
        </w:rPr>
        <w:t>È</w:t>
      </w:r>
      <w:r w:rsidRPr="0077427C">
        <w:rPr>
          <w:rFonts w:ascii="Times New Roman" w:hAnsi="Times New Roman"/>
          <w:sz w:val="26"/>
          <w:szCs w:val="26"/>
        </w:rPr>
        <w:t xml:space="preserve"> stata altresì sottolineata l’importanza delle misure antisismiche, che hanno consentito di mettere in sicurezza molti edifici a rischio nelle zone sismiche 1, 2 o 3. </w:t>
      </w:r>
    </w:p>
    <w:p w14:paraId="33968A50" w14:textId="77777777" w:rsidR="009C2AB2" w:rsidRPr="0077427C" w:rsidRDefault="00E72265" w:rsidP="005350BB">
      <w:pPr>
        <w:rPr>
          <w:rFonts w:ascii="Times New Roman" w:hAnsi="Times New Roman"/>
          <w:sz w:val="26"/>
          <w:szCs w:val="26"/>
        </w:rPr>
      </w:pPr>
      <w:r w:rsidRPr="0077427C">
        <w:rPr>
          <w:rFonts w:ascii="Times New Roman" w:hAnsi="Times New Roman"/>
          <w:sz w:val="26"/>
          <w:szCs w:val="26"/>
        </w:rPr>
        <w:t xml:space="preserve">Sul fronte delle proposte, </w:t>
      </w:r>
      <w:r w:rsidR="009C2AB2" w:rsidRPr="0077427C">
        <w:rPr>
          <w:rFonts w:ascii="Times New Roman" w:hAnsi="Times New Roman"/>
          <w:sz w:val="26"/>
          <w:szCs w:val="26"/>
        </w:rPr>
        <w:t>per consentire una programmazione concreta sia per i committenti sia per le imprese</w:t>
      </w:r>
      <w:r w:rsidRPr="0077427C">
        <w:rPr>
          <w:rFonts w:ascii="Times New Roman" w:hAnsi="Times New Roman"/>
          <w:sz w:val="26"/>
          <w:szCs w:val="26"/>
        </w:rPr>
        <w:t>,</w:t>
      </w:r>
      <w:r w:rsidR="009C2AB2" w:rsidRPr="0077427C">
        <w:rPr>
          <w:rFonts w:ascii="Times New Roman" w:hAnsi="Times New Roman"/>
          <w:sz w:val="26"/>
          <w:szCs w:val="26"/>
        </w:rPr>
        <w:t xml:space="preserve"> </w:t>
      </w:r>
      <w:r w:rsidRPr="0077427C">
        <w:rPr>
          <w:rFonts w:ascii="Times New Roman" w:hAnsi="Times New Roman"/>
          <w:sz w:val="26"/>
          <w:szCs w:val="26"/>
        </w:rPr>
        <w:t>si</w:t>
      </w:r>
      <w:r w:rsidR="009C2AB2" w:rsidRPr="0077427C">
        <w:rPr>
          <w:rFonts w:ascii="Times New Roman" w:hAnsi="Times New Roman"/>
          <w:sz w:val="26"/>
          <w:szCs w:val="26"/>
        </w:rPr>
        <w:t xml:space="preserve"> reputa necessario </w:t>
      </w:r>
      <w:r w:rsidRPr="0077427C">
        <w:rPr>
          <w:rFonts w:ascii="Times New Roman" w:hAnsi="Times New Roman"/>
          <w:sz w:val="26"/>
          <w:szCs w:val="26"/>
        </w:rPr>
        <w:t>defini</w:t>
      </w:r>
      <w:r w:rsidR="009C2AB2" w:rsidRPr="0077427C">
        <w:rPr>
          <w:rFonts w:ascii="Times New Roman" w:hAnsi="Times New Roman"/>
          <w:sz w:val="26"/>
          <w:szCs w:val="26"/>
        </w:rPr>
        <w:t xml:space="preserve">re un piano </w:t>
      </w:r>
      <w:r w:rsidR="009C2AB2" w:rsidRPr="0077427C">
        <w:rPr>
          <w:rFonts w:ascii="Times New Roman" w:hAnsi="Times New Roman"/>
          <w:i/>
          <w:sz w:val="26"/>
          <w:szCs w:val="26"/>
        </w:rPr>
        <w:t>green</w:t>
      </w:r>
      <w:r w:rsidR="009C2AB2" w:rsidRPr="0077427C">
        <w:rPr>
          <w:rFonts w:ascii="Times New Roman" w:hAnsi="Times New Roman"/>
          <w:sz w:val="26"/>
          <w:szCs w:val="26"/>
        </w:rPr>
        <w:t xml:space="preserve"> per la riqualificazione energetica e per la messa in sicurezza degli edifici privati e pubblici, che duri dai 5 ai 10 anni con una percentuale di sconto al 50 più che al 65 per cento, mantenendo la cessione del credito e lo sconto in fattura, ritenuti essenziali affinché i cittadini possano usufruire di questi bonus ordinari. </w:t>
      </w:r>
    </w:p>
    <w:p w14:paraId="3144EA71" w14:textId="77777777" w:rsidR="009C2AB2" w:rsidRPr="0077427C" w:rsidRDefault="009C2AB2" w:rsidP="009C2AB2">
      <w:pPr>
        <w:ind w:firstLine="0"/>
        <w:rPr>
          <w:rFonts w:ascii="Times New Roman" w:hAnsi="Times New Roman"/>
          <w:sz w:val="26"/>
          <w:szCs w:val="26"/>
        </w:rPr>
      </w:pPr>
    </w:p>
    <w:p w14:paraId="3BE2C08D" w14:textId="77777777" w:rsidR="009C2AB2" w:rsidRPr="0077427C" w:rsidRDefault="002F30D8" w:rsidP="002F30D8">
      <w:pPr>
        <w:rPr>
          <w:rFonts w:ascii="Times New Roman" w:hAnsi="Times New Roman"/>
          <w:b/>
          <w:sz w:val="26"/>
          <w:szCs w:val="26"/>
        </w:rPr>
      </w:pPr>
      <w:proofErr w:type="spellStart"/>
      <w:r w:rsidRPr="0077427C">
        <w:rPr>
          <w:rFonts w:ascii="Times New Roman" w:hAnsi="Times New Roman"/>
          <w:b/>
          <w:sz w:val="26"/>
          <w:szCs w:val="26"/>
        </w:rPr>
        <w:t>AssoESCo</w:t>
      </w:r>
      <w:proofErr w:type="spellEnd"/>
    </w:p>
    <w:p w14:paraId="0501B05A" w14:textId="77777777" w:rsidR="002F30D8" w:rsidRPr="0077427C" w:rsidRDefault="002F30D8" w:rsidP="009C2AB2">
      <w:pPr>
        <w:rPr>
          <w:rFonts w:ascii="Times New Roman" w:hAnsi="Times New Roman"/>
          <w:i/>
          <w:sz w:val="26"/>
          <w:szCs w:val="26"/>
        </w:rPr>
      </w:pPr>
      <w:r w:rsidRPr="0077427C">
        <w:rPr>
          <w:rFonts w:ascii="Times New Roman" w:hAnsi="Times New Roman"/>
          <w:sz w:val="26"/>
          <w:szCs w:val="26"/>
        </w:rPr>
        <w:t>Nel corso dell’audizione del 28 marzo 2023</w:t>
      </w:r>
      <w:r w:rsidR="009C2AB2" w:rsidRPr="0077427C">
        <w:rPr>
          <w:rFonts w:ascii="Times New Roman" w:hAnsi="Times New Roman"/>
          <w:sz w:val="26"/>
          <w:szCs w:val="26"/>
        </w:rPr>
        <w:t xml:space="preserve">, </w:t>
      </w:r>
      <w:r w:rsidRPr="0077427C">
        <w:rPr>
          <w:rFonts w:ascii="Times New Roman" w:hAnsi="Times New Roman"/>
          <w:sz w:val="26"/>
          <w:szCs w:val="26"/>
        </w:rPr>
        <w:t xml:space="preserve">sono stati evidenziati </w:t>
      </w:r>
      <w:r w:rsidR="009C2AB2" w:rsidRPr="0077427C">
        <w:rPr>
          <w:rFonts w:ascii="Times New Roman" w:hAnsi="Times New Roman"/>
          <w:sz w:val="26"/>
          <w:szCs w:val="26"/>
        </w:rPr>
        <w:t>gli effetti positivi degli incentivi fiscali per l’economia</w:t>
      </w:r>
      <w:r w:rsidR="0067598B" w:rsidRPr="0077427C">
        <w:rPr>
          <w:rFonts w:ascii="Times New Roman" w:hAnsi="Times New Roman"/>
          <w:sz w:val="26"/>
          <w:szCs w:val="26"/>
        </w:rPr>
        <w:t>,</w:t>
      </w:r>
      <w:r w:rsidR="009C2AB2" w:rsidRPr="0077427C">
        <w:rPr>
          <w:rFonts w:ascii="Times New Roman" w:hAnsi="Times New Roman"/>
          <w:sz w:val="26"/>
          <w:szCs w:val="26"/>
        </w:rPr>
        <w:t xml:space="preserve"> ma anche gli effetti negativi per il debito pubblico e l’aumento dei prezzi nel settore edilizio</w:t>
      </w:r>
      <w:r w:rsidRPr="0077427C">
        <w:rPr>
          <w:rFonts w:ascii="Times New Roman" w:hAnsi="Times New Roman"/>
          <w:sz w:val="26"/>
          <w:szCs w:val="26"/>
        </w:rPr>
        <w:t>. Sono stati</w:t>
      </w:r>
      <w:r w:rsidR="009C2AB2" w:rsidRPr="0077427C">
        <w:rPr>
          <w:rFonts w:ascii="Times New Roman" w:hAnsi="Times New Roman"/>
          <w:sz w:val="26"/>
          <w:szCs w:val="26"/>
        </w:rPr>
        <w:t xml:space="preserve"> valuta</w:t>
      </w:r>
      <w:r w:rsidRPr="0077427C">
        <w:rPr>
          <w:rFonts w:ascii="Times New Roman" w:hAnsi="Times New Roman"/>
          <w:sz w:val="26"/>
          <w:szCs w:val="26"/>
        </w:rPr>
        <w:t>ti</w:t>
      </w:r>
      <w:r w:rsidR="009C2AB2" w:rsidRPr="0077427C">
        <w:rPr>
          <w:rFonts w:ascii="Times New Roman" w:hAnsi="Times New Roman"/>
          <w:sz w:val="26"/>
          <w:szCs w:val="26"/>
        </w:rPr>
        <w:t xml:space="preserve"> positivamente </w:t>
      </w:r>
      <w:r w:rsidRPr="0077427C">
        <w:rPr>
          <w:rFonts w:ascii="Times New Roman" w:hAnsi="Times New Roman"/>
          <w:sz w:val="26"/>
          <w:szCs w:val="26"/>
        </w:rPr>
        <w:t>i meccanismi del</w:t>
      </w:r>
      <w:r w:rsidR="009C2AB2" w:rsidRPr="0077427C">
        <w:rPr>
          <w:rFonts w:ascii="Times New Roman" w:hAnsi="Times New Roman"/>
          <w:sz w:val="26"/>
          <w:szCs w:val="26"/>
        </w:rPr>
        <w:t xml:space="preserve">lo sconto in fattura e </w:t>
      </w:r>
      <w:r w:rsidRPr="0077427C">
        <w:rPr>
          <w:rFonts w:ascii="Times New Roman" w:hAnsi="Times New Roman"/>
          <w:sz w:val="26"/>
          <w:szCs w:val="26"/>
        </w:rPr>
        <w:t>del</w:t>
      </w:r>
      <w:r w:rsidR="009C2AB2" w:rsidRPr="0077427C">
        <w:rPr>
          <w:rFonts w:ascii="Times New Roman" w:hAnsi="Times New Roman"/>
          <w:sz w:val="26"/>
          <w:szCs w:val="26"/>
        </w:rPr>
        <w:t xml:space="preserve">la cessione del credito, osservando però che tali misure andrebbero declinate per priorità, partendo dagli edifici energivori, dalle situazioni di povertà energetica e in generale dalla indisponibilità di risorse finanziarie del proprietario degli immobili. </w:t>
      </w:r>
      <w:r w:rsidRPr="0077427C">
        <w:rPr>
          <w:rFonts w:ascii="Times New Roman" w:hAnsi="Times New Roman"/>
          <w:sz w:val="26"/>
          <w:szCs w:val="26"/>
        </w:rPr>
        <w:t>Al fine di</w:t>
      </w:r>
      <w:r w:rsidR="009C2AB2" w:rsidRPr="0077427C">
        <w:rPr>
          <w:rFonts w:ascii="Times New Roman" w:hAnsi="Times New Roman"/>
          <w:sz w:val="26"/>
          <w:szCs w:val="26"/>
        </w:rPr>
        <w:t xml:space="preserve"> intervenire sul </w:t>
      </w:r>
      <w:r w:rsidR="009C2AB2" w:rsidRPr="0077427C">
        <w:rPr>
          <w:rFonts w:ascii="Times New Roman" w:hAnsi="Times New Roman"/>
          <w:i/>
          <w:sz w:val="26"/>
          <w:szCs w:val="26"/>
        </w:rPr>
        <w:t xml:space="preserve">gap finanziario </w:t>
      </w:r>
      <w:r w:rsidR="009C2AB2" w:rsidRPr="0077427C">
        <w:rPr>
          <w:rFonts w:ascii="Times New Roman" w:hAnsi="Times New Roman"/>
          <w:sz w:val="26"/>
          <w:szCs w:val="26"/>
        </w:rPr>
        <w:t xml:space="preserve">si potrebbe valutare l’applicazione dei </w:t>
      </w:r>
      <w:hyperlink r:id="rId23" w:history="1">
        <w:r w:rsidR="009C2AB2" w:rsidRPr="0077427C">
          <w:rPr>
            <w:rFonts w:ascii="Times New Roman" w:hAnsi="Times New Roman"/>
            <w:sz w:val="26"/>
            <w:szCs w:val="26"/>
          </w:rPr>
          <w:t>contratti di prestazione energetica</w:t>
        </w:r>
      </w:hyperlink>
      <w:r w:rsidR="009C2AB2" w:rsidRPr="0077427C">
        <w:rPr>
          <w:rFonts w:ascii="Times New Roman" w:hAnsi="Times New Roman"/>
          <w:sz w:val="26"/>
          <w:szCs w:val="26"/>
        </w:rPr>
        <w:t xml:space="preserve"> (EPC) nel settore privato.</w:t>
      </w:r>
      <w:r w:rsidR="009C2AB2" w:rsidRPr="0077427C">
        <w:rPr>
          <w:rFonts w:ascii="Times New Roman" w:hAnsi="Times New Roman"/>
          <w:i/>
          <w:sz w:val="26"/>
          <w:szCs w:val="26"/>
        </w:rPr>
        <w:t xml:space="preserve"> </w:t>
      </w:r>
    </w:p>
    <w:p w14:paraId="2CD718FB" w14:textId="6F554980" w:rsidR="009C2AB2" w:rsidRPr="0077427C" w:rsidRDefault="002F30D8" w:rsidP="009C2AB2">
      <w:pPr>
        <w:rPr>
          <w:rFonts w:ascii="Times New Roman" w:hAnsi="Times New Roman"/>
          <w:b/>
          <w:sz w:val="26"/>
          <w:szCs w:val="26"/>
        </w:rPr>
      </w:pPr>
      <w:r w:rsidRPr="0077427C">
        <w:rPr>
          <w:rFonts w:ascii="Times New Roman" w:hAnsi="Times New Roman"/>
          <w:sz w:val="26"/>
          <w:szCs w:val="26"/>
        </w:rPr>
        <w:t xml:space="preserve">Si </w:t>
      </w:r>
      <w:r w:rsidR="00671309" w:rsidRPr="0077427C">
        <w:rPr>
          <w:rFonts w:ascii="Times New Roman" w:hAnsi="Times New Roman"/>
          <w:sz w:val="26"/>
          <w:szCs w:val="26"/>
        </w:rPr>
        <w:t>r</w:t>
      </w:r>
      <w:r w:rsidR="009C2AB2" w:rsidRPr="0077427C">
        <w:rPr>
          <w:rFonts w:ascii="Times New Roman" w:hAnsi="Times New Roman"/>
          <w:sz w:val="26"/>
          <w:szCs w:val="26"/>
        </w:rPr>
        <w:t>eputa</w:t>
      </w:r>
      <w:r w:rsidR="00671309" w:rsidRPr="0077427C">
        <w:rPr>
          <w:rFonts w:ascii="Times New Roman" w:hAnsi="Times New Roman"/>
          <w:sz w:val="26"/>
          <w:szCs w:val="26"/>
        </w:rPr>
        <w:t>no</w:t>
      </w:r>
      <w:r w:rsidR="009C2AB2" w:rsidRPr="0077427C">
        <w:rPr>
          <w:rFonts w:ascii="Times New Roman" w:hAnsi="Times New Roman"/>
          <w:sz w:val="26"/>
          <w:szCs w:val="26"/>
        </w:rPr>
        <w:t xml:space="preserve"> comunque necessari: 1) un quadro normativo e incentivante stabile in particolare nella prospettiva degli sfidanti obiettivi di transizione energetica e di quelli che saranno introdotti con la revisione della </w:t>
      </w:r>
      <w:r w:rsidR="00671309" w:rsidRPr="0077427C">
        <w:rPr>
          <w:rFonts w:ascii="Times New Roman" w:hAnsi="Times New Roman"/>
          <w:sz w:val="26"/>
          <w:szCs w:val="26"/>
        </w:rPr>
        <w:t>d</w:t>
      </w:r>
      <w:r w:rsidR="009C2AB2" w:rsidRPr="0077427C">
        <w:rPr>
          <w:rFonts w:ascii="Times New Roman" w:hAnsi="Times New Roman"/>
          <w:sz w:val="26"/>
          <w:szCs w:val="26"/>
        </w:rPr>
        <w:t>irettiva EPBD</w:t>
      </w:r>
      <w:r w:rsidR="00FB06F0" w:rsidRPr="0077427C">
        <w:rPr>
          <w:rFonts w:ascii="Times New Roman" w:hAnsi="Times New Roman"/>
          <w:sz w:val="26"/>
          <w:szCs w:val="26"/>
        </w:rPr>
        <w:t xml:space="preserve"> (</w:t>
      </w:r>
      <w:r w:rsidR="00FB06F0" w:rsidRPr="0077427C">
        <w:rPr>
          <w:rFonts w:ascii="Times New Roman" w:hAnsi="Times New Roman"/>
          <w:i/>
          <w:sz w:val="26"/>
          <w:szCs w:val="26"/>
        </w:rPr>
        <w:t>Energy Performance of Buildings Directive</w:t>
      </w:r>
      <w:r w:rsidR="00FB06F0" w:rsidRPr="0077427C">
        <w:rPr>
          <w:rFonts w:ascii="Times New Roman" w:hAnsi="Times New Roman"/>
          <w:sz w:val="26"/>
          <w:szCs w:val="26"/>
        </w:rPr>
        <w:t>)</w:t>
      </w:r>
      <w:r w:rsidR="009C2AB2" w:rsidRPr="0077427C">
        <w:rPr>
          <w:rFonts w:ascii="Times New Roman" w:hAnsi="Times New Roman"/>
          <w:sz w:val="26"/>
          <w:szCs w:val="26"/>
        </w:rPr>
        <w:t>; 2) incentivi corrisposti in funzione del risparmio energetico generato e misurato  (premialità per i contratti di rendimento energetico);</w:t>
      </w:r>
      <w:r w:rsidR="009C2AB2" w:rsidRPr="0077427C">
        <w:rPr>
          <w:rFonts w:ascii="Times New Roman" w:hAnsi="Times New Roman"/>
          <w:b/>
          <w:sz w:val="26"/>
          <w:szCs w:val="26"/>
        </w:rPr>
        <w:t xml:space="preserve"> </w:t>
      </w:r>
      <w:r w:rsidR="009C2AB2" w:rsidRPr="0077427C">
        <w:rPr>
          <w:rFonts w:ascii="Times New Roman" w:hAnsi="Times New Roman"/>
          <w:sz w:val="26"/>
          <w:szCs w:val="26"/>
        </w:rPr>
        <w:t xml:space="preserve">3) un riconoscimento del ruolo delle </w:t>
      </w:r>
      <w:proofErr w:type="spellStart"/>
      <w:r w:rsidR="009C2AB2" w:rsidRPr="0077427C">
        <w:rPr>
          <w:rFonts w:ascii="Times New Roman" w:hAnsi="Times New Roman"/>
          <w:sz w:val="26"/>
          <w:szCs w:val="26"/>
        </w:rPr>
        <w:t>ESCo</w:t>
      </w:r>
      <w:proofErr w:type="spellEnd"/>
      <w:r w:rsidR="009C2AB2" w:rsidRPr="0077427C">
        <w:rPr>
          <w:rFonts w:ascii="Times New Roman" w:hAnsi="Times New Roman"/>
          <w:sz w:val="26"/>
          <w:szCs w:val="26"/>
        </w:rPr>
        <w:t xml:space="preserve"> come operatore che entra nella gestione delle soluzioni di efficienza, anche nel finanziamento e nella gestione delle </w:t>
      </w:r>
      <w:r w:rsidR="00671309" w:rsidRPr="0077427C">
        <w:rPr>
          <w:rFonts w:ascii="Times New Roman" w:hAnsi="Times New Roman"/>
          <w:sz w:val="26"/>
          <w:szCs w:val="26"/>
        </w:rPr>
        <w:t>c</w:t>
      </w:r>
      <w:r w:rsidR="009C2AB2" w:rsidRPr="0077427C">
        <w:rPr>
          <w:rFonts w:ascii="Times New Roman" w:hAnsi="Times New Roman"/>
          <w:sz w:val="26"/>
          <w:szCs w:val="26"/>
        </w:rPr>
        <w:t>omunità energetiche rinnovabili.</w:t>
      </w:r>
      <w:bookmarkEnd w:id="9"/>
      <w:bookmarkEnd w:id="10"/>
      <w:bookmarkEnd w:id="11"/>
    </w:p>
    <w:p w14:paraId="52E61612" w14:textId="77777777" w:rsidR="009C2AB2" w:rsidRPr="0077427C" w:rsidRDefault="009C2AB2" w:rsidP="009C2AB2">
      <w:pPr>
        <w:ind w:firstLine="0"/>
        <w:rPr>
          <w:rFonts w:ascii="Times New Roman" w:hAnsi="Times New Roman"/>
          <w:sz w:val="26"/>
          <w:szCs w:val="26"/>
        </w:rPr>
      </w:pPr>
    </w:p>
    <w:p w14:paraId="5FE995EA" w14:textId="77777777" w:rsidR="009C2AB2" w:rsidRPr="0077427C" w:rsidRDefault="00671309" w:rsidP="009C2AB2">
      <w:pPr>
        <w:spacing w:line="240" w:lineRule="auto"/>
        <w:ind w:right="113"/>
        <w:rPr>
          <w:rFonts w:ascii="Times New Roman" w:hAnsi="Times New Roman"/>
          <w:i/>
          <w:sz w:val="26"/>
          <w:szCs w:val="26"/>
        </w:rPr>
      </w:pPr>
      <w:r w:rsidRPr="0077427C">
        <w:rPr>
          <w:rFonts w:ascii="Times New Roman" w:hAnsi="Times New Roman"/>
          <w:b/>
          <w:sz w:val="26"/>
          <w:szCs w:val="26"/>
        </w:rPr>
        <w:t>Associazione Italiana Energie Agroforestali (AIEL)</w:t>
      </w:r>
      <w:r w:rsidR="00371480" w:rsidRPr="0077427C">
        <w:rPr>
          <w:rFonts w:ascii="Times New Roman" w:hAnsi="Times New Roman"/>
          <w:i/>
          <w:sz w:val="26"/>
          <w:szCs w:val="26"/>
        </w:rPr>
        <w:t xml:space="preserve"> </w:t>
      </w:r>
    </w:p>
    <w:p w14:paraId="1F2928FF" w14:textId="77777777" w:rsidR="009C2AB2" w:rsidRPr="0077427C" w:rsidRDefault="007E2CE3" w:rsidP="009C2AB2">
      <w:pPr>
        <w:rPr>
          <w:rFonts w:ascii="Times New Roman" w:hAnsi="Times New Roman"/>
          <w:sz w:val="26"/>
          <w:szCs w:val="26"/>
        </w:rPr>
      </w:pPr>
      <w:r w:rsidRPr="0077427C">
        <w:rPr>
          <w:rFonts w:ascii="Times New Roman" w:hAnsi="Times New Roman"/>
          <w:sz w:val="26"/>
          <w:szCs w:val="26"/>
        </w:rPr>
        <w:t>Nel corso dell’</w:t>
      </w:r>
      <w:r w:rsidR="00671309" w:rsidRPr="0077427C">
        <w:rPr>
          <w:rFonts w:ascii="Times New Roman" w:hAnsi="Times New Roman"/>
          <w:sz w:val="26"/>
          <w:szCs w:val="26"/>
        </w:rPr>
        <w:t>audizione del 4 aprile 2023</w:t>
      </w:r>
      <w:r w:rsidRPr="0077427C">
        <w:rPr>
          <w:rFonts w:ascii="Times New Roman" w:hAnsi="Times New Roman"/>
          <w:sz w:val="26"/>
          <w:szCs w:val="26"/>
        </w:rPr>
        <w:t>, è stato</w:t>
      </w:r>
      <w:r w:rsidR="00671309" w:rsidRPr="0077427C">
        <w:rPr>
          <w:rFonts w:ascii="Times New Roman" w:hAnsi="Times New Roman"/>
          <w:i/>
          <w:sz w:val="26"/>
          <w:szCs w:val="26"/>
        </w:rPr>
        <w:t xml:space="preserve"> </w:t>
      </w:r>
      <w:r w:rsidR="009C2AB2" w:rsidRPr="0077427C">
        <w:rPr>
          <w:rFonts w:ascii="Times New Roman" w:hAnsi="Times New Roman"/>
          <w:sz w:val="26"/>
          <w:szCs w:val="26"/>
        </w:rPr>
        <w:t xml:space="preserve">ricordato innanzitutto che il riscaldamento domestico a biomasse rappresenta la prima fonte energetica rinnovabile utilizzata da un quarto delle famiglie italiane e ha consentito all'Italia di raggiungere gli sfidanti obiettivi in termini di energie rinnovabili al 2020. Sicuramente sarà ancora un pilastro di quelli che sono gli obiettivi di rinnovabili al 2030 e anche poi nel processo di decarbonizzazione al 2050. L’AIEL ha inoltre ricordato che il settore del riscaldamento (che è responsabile di oltre il 60 per cento di tutte le emissioni di gas serra in Italia), a causa della forte penetrazione dei combustibili fossili, rappresenta anche uno dei settori più difficili da decarbonizzare e per il quale gli sforzi per uscire dalla dipendenza dovranno essere sicuramente maggiori. In questo contesto, un contributo non trascurabile è dato anche dall'uso sostenibile dei combustibili legnosi. Ha altresì ricordato che, in base ai dati certificati da Ispra, le emissioni di CO2 equivalenti derivanti dal settore del riscaldamento domestico e commerciale sono di fatto stabili negli ultimi trent'anni e si sono attestate nel 2019 attorno alle 82.000 chilotonnellate. Altro dato interessante, secondo AIEL, è l'età del parco installato: oltre il 20 per cento dei sistemi di riscaldamento ha più di trent'anni. È quindi evidente, a giudizio di AIEL, che si devono sostituire questi vecchi impianti di riscaldamento, anche quelli a combustibili fossili (quindi gasolio, GPL e metano), privilegiando le soluzioni </w:t>
      </w:r>
      <w:proofErr w:type="gramStart"/>
      <w:r w:rsidR="009C2AB2" w:rsidRPr="0077427C">
        <w:rPr>
          <w:rFonts w:ascii="Times New Roman" w:hAnsi="Times New Roman"/>
          <w:sz w:val="26"/>
          <w:szCs w:val="26"/>
        </w:rPr>
        <w:t>innovative</w:t>
      </w:r>
      <w:proofErr w:type="gramEnd"/>
      <w:r w:rsidR="009C2AB2" w:rsidRPr="0077427C">
        <w:rPr>
          <w:rFonts w:ascii="Times New Roman" w:hAnsi="Times New Roman"/>
          <w:sz w:val="26"/>
          <w:szCs w:val="26"/>
        </w:rPr>
        <w:t xml:space="preserve"> tra cui rientrano anche gli impianti a biomassa, che sono tecnologicamente avanzati.</w:t>
      </w:r>
    </w:p>
    <w:p w14:paraId="09168333" w14:textId="77777777" w:rsidR="009C2AB2" w:rsidRPr="0077427C" w:rsidRDefault="009C2AB2" w:rsidP="009C2AB2">
      <w:pPr>
        <w:rPr>
          <w:rFonts w:ascii="Times New Roman" w:hAnsi="Times New Roman"/>
          <w:sz w:val="26"/>
          <w:szCs w:val="26"/>
        </w:rPr>
      </w:pPr>
      <w:r w:rsidRPr="0077427C">
        <w:rPr>
          <w:rFonts w:ascii="Times New Roman" w:hAnsi="Times New Roman"/>
          <w:sz w:val="26"/>
          <w:szCs w:val="26"/>
        </w:rPr>
        <w:t xml:space="preserve">AIEL ha ricordato inoltre che, considerando le risorse attualmente disponibili, è possibile puntare a un obiettivo di energia termica prodotta da fonti legate alla gestione forestale di oltre i 16,5 megatep. Questo significa potenzialmente sostituire oltre 9 miliardi di metri cubi di metano, che è circa il 20 per cento del metano importato dalla Russia. </w:t>
      </w:r>
    </w:p>
    <w:p w14:paraId="3FB3F6B9" w14:textId="77777777" w:rsidR="009C2AB2" w:rsidRPr="0077427C" w:rsidRDefault="00586F46" w:rsidP="009C2AB2">
      <w:pPr>
        <w:rPr>
          <w:rFonts w:ascii="Times New Roman" w:hAnsi="Times New Roman"/>
          <w:sz w:val="26"/>
          <w:szCs w:val="26"/>
        </w:rPr>
      </w:pPr>
      <w:proofErr w:type="gramStart"/>
      <w:r w:rsidRPr="0077427C">
        <w:rPr>
          <w:rFonts w:ascii="Times New Roman" w:hAnsi="Times New Roman"/>
          <w:sz w:val="26"/>
          <w:szCs w:val="26"/>
        </w:rPr>
        <w:t>E’</w:t>
      </w:r>
      <w:proofErr w:type="gramEnd"/>
      <w:r w:rsidRPr="0077427C">
        <w:rPr>
          <w:rFonts w:ascii="Times New Roman" w:hAnsi="Times New Roman"/>
          <w:sz w:val="26"/>
          <w:szCs w:val="26"/>
        </w:rPr>
        <w:t xml:space="preserve"> stato</w:t>
      </w:r>
      <w:r w:rsidR="009C2AB2" w:rsidRPr="0077427C">
        <w:rPr>
          <w:rFonts w:ascii="Times New Roman" w:hAnsi="Times New Roman"/>
          <w:sz w:val="26"/>
          <w:szCs w:val="26"/>
        </w:rPr>
        <w:t xml:space="preserve">, poi, ricordato che, dopo il traffico, l'agricoltura e l'industria, la combustione domestica della legna da ardere in apparecchi tecnologicamente obsoleti è ancora oggi una delle principali sorgenti di PM10 misurato in atmosfera. L'età del parco installato in questo senso è particolarmente significativa: infatti più del 66 per cento di tutti gli impianti a biomassa installati </w:t>
      </w:r>
      <w:r w:rsidRPr="0077427C">
        <w:rPr>
          <w:rFonts w:ascii="Times New Roman" w:hAnsi="Times New Roman"/>
          <w:sz w:val="26"/>
          <w:szCs w:val="26"/>
        </w:rPr>
        <w:t xml:space="preserve">a livello nazionale </w:t>
      </w:r>
      <w:r w:rsidR="009C2AB2" w:rsidRPr="0077427C">
        <w:rPr>
          <w:rFonts w:ascii="Times New Roman" w:hAnsi="Times New Roman"/>
          <w:sz w:val="26"/>
          <w:szCs w:val="26"/>
        </w:rPr>
        <w:t>ha più di dieci anni.</w:t>
      </w:r>
    </w:p>
    <w:p w14:paraId="760CDDB6" w14:textId="77777777" w:rsidR="009C2AB2" w:rsidRPr="0077427C" w:rsidRDefault="009C2AB2" w:rsidP="009C2AB2">
      <w:pPr>
        <w:rPr>
          <w:rFonts w:ascii="Times New Roman" w:hAnsi="Times New Roman"/>
          <w:sz w:val="26"/>
          <w:szCs w:val="26"/>
        </w:rPr>
      </w:pPr>
      <w:r w:rsidRPr="0077427C">
        <w:rPr>
          <w:rFonts w:ascii="Times New Roman" w:hAnsi="Times New Roman"/>
          <w:sz w:val="26"/>
          <w:szCs w:val="26"/>
        </w:rPr>
        <w:t>Secondo AIEL appare evidente come gli incentivi stiano avendo un ruolo sempre più importante nella vendita dei generatori alimentati a biocombustibili legnosi. Nel 2021 sono state circa 114.000 le vendite incentivate, il 49 per cento del totale di tutte le vendite in Italia nello stesso anno. Tra tutti gli incentivi nel settore in cui opera, AIEL ha sottolineato l’importanza del conto termico, che ha consentito e consente di ammodernare quello che è un parco di generatori appunto vetusto. La maggior parte delle installazioni che passano attraverso il conto termico sono installazioni di generatori a pellet; una quota minoritaria invece è quella della legna da ardere, che tuttavia è estremamente importante.</w:t>
      </w:r>
    </w:p>
    <w:p w14:paraId="66A28C65" w14:textId="77777777" w:rsidR="009C2AB2" w:rsidRPr="0077427C" w:rsidRDefault="009C2AB2" w:rsidP="009C2AB2">
      <w:pPr>
        <w:rPr>
          <w:rFonts w:ascii="Times New Roman" w:hAnsi="Times New Roman"/>
          <w:sz w:val="26"/>
          <w:szCs w:val="26"/>
        </w:rPr>
      </w:pPr>
      <w:r w:rsidRPr="0077427C">
        <w:rPr>
          <w:rFonts w:ascii="Times New Roman" w:hAnsi="Times New Roman"/>
          <w:sz w:val="26"/>
          <w:szCs w:val="26"/>
        </w:rPr>
        <w:t xml:space="preserve">In relazione al </w:t>
      </w:r>
      <w:r w:rsidR="00475C12" w:rsidRPr="0077427C">
        <w:rPr>
          <w:rFonts w:ascii="Times New Roman" w:hAnsi="Times New Roman"/>
          <w:i/>
          <w:sz w:val="26"/>
          <w:szCs w:val="26"/>
        </w:rPr>
        <w:t>s</w:t>
      </w:r>
      <w:r w:rsidRPr="0077427C">
        <w:rPr>
          <w:rFonts w:ascii="Times New Roman" w:hAnsi="Times New Roman"/>
          <w:i/>
          <w:sz w:val="26"/>
          <w:szCs w:val="26"/>
        </w:rPr>
        <w:t>uperbonus</w:t>
      </w:r>
      <w:r w:rsidRPr="0077427C">
        <w:rPr>
          <w:rFonts w:ascii="Times New Roman" w:hAnsi="Times New Roman"/>
          <w:sz w:val="26"/>
          <w:szCs w:val="26"/>
        </w:rPr>
        <w:t xml:space="preserve">, AIEL ha ricordato che tale strumento ha avuto il pregio di favorire l'installazione di sistemi di riscaldamento altamente performanti, ossia le tecnologie cosiddette ad emissioni quasi zero. </w:t>
      </w:r>
    </w:p>
    <w:p w14:paraId="04F0F382" w14:textId="77777777" w:rsidR="009C2AB2" w:rsidRPr="0077427C" w:rsidRDefault="009C2AB2" w:rsidP="009C2AB2">
      <w:pPr>
        <w:rPr>
          <w:rFonts w:ascii="Times New Roman" w:hAnsi="Times New Roman"/>
          <w:sz w:val="26"/>
          <w:szCs w:val="26"/>
        </w:rPr>
      </w:pPr>
      <w:r w:rsidRPr="0077427C">
        <w:rPr>
          <w:rFonts w:ascii="Times New Roman" w:hAnsi="Times New Roman"/>
          <w:sz w:val="26"/>
          <w:szCs w:val="26"/>
        </w:rPr>
        <w:t>Infine, AIEL ha evidenziato la necessità di continuare sulla strada intrapresa, confermando gli incentivi che puntano alla qualità e accelerando ulteriormente il turnover tecnologico. Nel documento consegnato durante l’audizione viene evidenziata la necessità di procedere quanto prima alla revisione del Conto Termico, come atteso dagli operatori da oltre due anni, e garantire la cumulabilità dei diversi sistemi incentivanti (</w:t>
      </w:r>
      <w:r w:rsidR="00475C12" w:rsidRPr="0077427C">
        <w:rPr>
          <w:rFonts w:ascii="Times New Roman" w:hAnsi="Times New Roman"/>
          <w:i/>
          <w:sz w:val="26"/>
          <w:szCs w:val="26"/>
        </w:rPr>
        <w:t>s</w:t>
      </w:r>
      <w:r w:rsidRPr="0077427C">
        <w:rPr>
          <w:rFonts w:ascii="Times New Roman" w:hAnsi="Times New Roman"/>
          <w:i/>
          <w:sz w:val="26"/>
          <w:szCs w:val="26"/>
        </w:rPr>
        <w:t xml:space="preserve">uperbonus, </w:t>
      </w:r>
      <w:r w:rsidR="00475C12" w:rsidRPr="0077427C">
        <w:rPr>
          <w:rFonts w:ascii="Times New Roman" w:hAnsi="Times New Roman"/>
          <w:i/>
          <w:sz w:val="26"/>
          <w:szCs w:val="26"/>
        </w:rPr>
        <w:t>e</w:t>
      </w:r>
      <w:r w:rsidRPr="0077427C">
        <w:rPr>
          <w:rFonts w:ascii="Times New Roman" w:hAnsi="Times New Roman"/>
          <w:i/>
          <w:sz w:val="26"/>
          <w:szCs w:val="26"/>
        </w:rPr>
        <w:t xml:space="preserve">cobonus, </w:t>
      </w:r>
      <w:r w:rsidR="00475C12" w:rsidRPr="0077427C">
        <w:rPr>
          <w:rFonts w:ascii="Times New Roman" w:hAnsi="Times New Roman"/>
          <w:i/>
          <w:sz w:val="26"/>
          <w:szCs w:val="26"/>
        </w:rPr>
        <w:t>b</w:t>
      </w:r>
      <w:r w:rsidRPr="0077427C">
        <w:rPr>
          <w:rFonts w:ascii="Times New Roman" w:hAnsi="Times New Roman"/>
          <w:i/>
          <w:sz w:val="26"/>
          <w:szCs w:val="26"/>
        </w:rPr>
        <w:t>onus</w:t>
      </w:r>
      <w:r w:rsidRPr="0077427C">
        <w:rPr>
          <w:rFonts w:ascii="Times New Roman" w:hAnsi="Times New Roman"/>
          <w:sz w:val="26"/>
          <w:szCs w:val="26"/>
        </w:rPr>
        <w:t xml:space="preserve"> </w:t>
      </w:r>
      <w:r w:rsidR="003445CB" w:rsidRPr="0077427C">
        <w:rPr>
          <w:rFonts w:ascii="Times New Roman" w:hAnsi="Times New Roman"/>
          <w:sz w:val="26"/>
          <w:szCs w:val="26"/>
        </w:rPr>
        <w:t>c</w:t>
      </w:r>
      <w:r w:rsidRPr="0077427C">
        <w:rPr>
          <w:rFonts w:ascii="Times New Roman" w:hAnsi="Times New Roman"/>
          <w:sz w:val="26"/>
          <w:szCs w:val="26"/>
        </w:rPr>
        <w:t xml:space="preserve">asa) anche alla luce delle ultime novità apportate al sistema del </w:t>
      </w:r>
      <w:r w:rsidR="00475C12" w:rsidRPr="0077427C">
        <w:rPr>
          <w:rFonts w:ascii="Times New Roman" w:hAnsi="Times New Roman"/>
          <w:i/>
          <w:sz w:val="26"/>
          <w:szCs w:val="26"/>
        </w:rPr>
        <w:t>s</w:t>
      </w:r>
      <w:r w:rsidRPr="0077427C">
        <w:rPr>
          <w:rFonts w:ascii="Times New Roman" w:hAnsi="Times New Roman"/>
          <w:i/>
          <w:sz w:val="26"/>
          <w:szCs w:val="26"/>
        </w:rPr>
        <w:t>uperbonus</w:t>
      </w:r>
      <w:r w:rsidRPr="0077427C">
        <w:rPr>
          <w:rFonts w:ascii="Times New Roman" w:hAnsi="Times New Roman"/>
          <w:sz w:val="26"/>
          <w:szCs w:val="26"/>
        </w:rPr>
        <w:t>.</w:t>
      </w:r>
    </w:p>
    <w:p w14:paraId="2ABA7C86" w14:textId="77777777" w:rsidR="009C2AB2" w:rsidRPr="0077427C" w:rsidRDefault="009C2AB2" w:rsidP="009C2AB2">
      <w:pPr>
        <w:rPr>
          <w:rFonts w:ascii="Times New Roman" w:hAnsi="Times New Roman"/>
          <w:sz w:val="26"/>
          <w:szCs w:val="26"/>
        </w:rPr>
      </w:pPr>
    </w:p>
    <w:p w14:paraId="4F47E04B" w14:textId="77777777" w:rsidR="009C2AB2" w:rsidRPr="0077427C" w:rsidRDefault="009C2AB2" w:rsidP="009C2AB2">
      <w:pPr>
        <w:rPr>
          <w:rFonts w:ascii="Times New Roman" w:hAnsi="Times New Roman"/>
          <w:b/>
          <w:i/>
          <w:sz w:val="26"/>
          <w:szCs w:val="26"/>
        </w:rPr>
      </w:pPr>
      <w:r w:rsidRPr="0077427C">
        <w:rPr>
          <w:rFonts w:ascii="Times New Roman" w:hAnsi="Times New Roman"/>
          <w:b/>
          <w:sz w:val="26"/>
          <w:szCs w:val="26"/>
        </w:rPr>
        <w:t>Associazione Italiana di Grossisti di Energia e Trader (AIGET)</w:t>
      </w:r>
      <w:r w:rsidR="00371480" w:rsidRPr="0077427C">
        <w:rPr>
          <w:rFonts w:ascii="Times New Roman" w:hAnsi="Times New Roman"/>
          <w:b/>
          <w:sz w:val="26"/>
          <w:szCs w:val="26"/>
        </w:rPr>
        <w:t xml:space="preserve"> </w:t>
      </w:r>
    </w:p>
    <w:p w14:paraId="13747F41" w14:textId="77777777" w:rsidR="009C2AB2" w:rsidRPr="0077427C" w:rsidRDefault="009C2AB2" w:rsidP="009C2AB2">
      <w:pPr>
        <w:rPr>
          <w:rFonts w:ascii="Times New Roman" w:hAnsi="Times New Roman"/>
          <w:sz w:val="26"/>
          <w:szCs w:val="26"/>
        </w:rPr>
      </w:pPr>
      <w:r w:rsidRPr="0077427C">
        <w:rPr>
          <w:rFonts w:ascii="Times New Roman" w:hAnsi="Times New Roman"/>
          <w:sz w:val="26"/>
          <w:szCs w:val="26"/>
        </w:rPr>
        <w:t xml:space="preserve">Secondo l’Associazione Italiana di Grossisti di Energia e Trader (AIGET) è fondamentale, al fine di agevolare la programmazione delle aziende del settore energetico, che il quadro normativo sia condiviso e stabile, almeno nel medio periodo. </w:t>
      </w:r>
      <w:proofErr w:type="gramStart"/>
      <w:r w:rsidRPr="0077427C">
        <w:rPr>
          <w:rFonts w:ascii="Times New Roman" w:hAnsi="Times New Roman"/>
          <w:sz w:val="26"/>
          <w:szCs w:val="26"/>
        </w:rPr>
        <w:t>Inoltre</w:t>
      </w:r>
      <w:proofErr w:type="gramEnd"/>
      <w:r w:rsidRPr="0077427C">
        <w:rPr>
          <w:rFonts w:ascii="Times New Roman" w:hAnsi="Times New Roman"/>
          <w:sz w:val="26"/>
          <w:szCs w:val="26"/>
        </w:rPr>
        <w:t xml:space="preserve"> occorre differenziare le varie tipologie di detrazioni fiscali associate allo sconto in fattura o all'opzione del credito. </w:t>
      </w:r>
    </w:p>
    <w:p w14:paraId="7742AA91" w14:textId="77777777" w:rsidR="009C2AB2" w:rsidRPr="0077427C" w:rsidRDefault="009C2AB2" w:rsidP="009C2AB2">
      <w:pPr>
        <w:rPr>
          <w:rFonts w:ascii="Times New Roman" w:hAnsi="Times New Roman"/>
          <w:sz w:val="26"/>
          <w:szCs w:val="26"/>
        </w:rPr>
      </w:pPr>
      <w:r w:rsidRPr="0077427C">
        <w:rPr>
          <w:rFonts w:ascii="Times New Roman" w:hAnsi="Times New Roman"/>
          <w:sz w:val="26"/>
          <w:szCs w:val="26"/>
        </w:rPr>
        <w:t>Nel documento consegnato dall’AIGET nel corso dell’audizione viene sottolineato che gli interventi incentivabili dai suddetti bonus favoriscono anche l’installazione di sistemi per la produzione di energia rinnovabile, in particolare gli impianti fotovoltaici insieme alle colonnine di ricarica delle auto elettriche, contribuendo anche allo sviluppo di entrambi i settori, di centrale rilevanza nella strategia di diversificazione delle fonti per il raggiungimento degli obiettivi di indipendenza energetica. Questo meccanismo virtuoso rischia però di fatto di essere fortemente rallentato dalla eliminazione degli strumenti dello sconto in fattura e della cessione del credito.</w:t>
      </w:r>
    </w:p>
    <w:p w14:paraId="4B1CE548" w14:textId="77777777" w:rsidR="009C2AB2" w:rsidRPr="0077427C" w:rsidRDefault="009C2AB2" w:rsidP="009C2AB2">
      <w:pPr>
        <w:rPr>
          <w:rFonts w:ascii="Times New Roman" w:hAnsi="Times New Roman"/>
          <w:sz w:val="26"/>
          <w:szCs w:val="26"/>
        </w:rPr>
      </w:pPr>
    </w:p>
    <w:p w14:paraId="2E94D49F" w14:textId="77777777" w:rsidR="009C2AB2" w:rsidRPr="0077427C" w:rsidRDefault="009C2AB2" w:rsidP="009C2AB2">
      <w:pPr>
        <w:rPr>
          <w:rFonts w:ascii="Times New Roman" w:hAnsi="Times New Roman"/>
          <w:i/>
          <w:sz w:val="26"/>
          <w:szCs w:val="26"/>
        </w:rPr>
      </w:pPr>
      <w:r w:rsidRPr="0077427C">
        <w:rPr>
          <w:rFonts w:ascii="Times New Roman" w:hAnsi="Times New Roman"/>
          <w:b/>
          <w:sz w:val="26"/>
          <w:szCs w:val="26"/>
        </w:rPr>
        <w:t>Kyoto Club</w:t>
      </w:r>
      <w:r w:rsidR="00371480" w:rsidRPr="0077427C">
        <w:rPr>
          <w:rFonts w:ascii="Times New Roman" w:hAnsi="Times New Roman"/>
          <w:i/>
          <w:sz w:val="26"/>
          <w:szCs w:val="26"/>
        </w:rPr>
        <w:t xml:space="preserve"> </w:t>
      </w:r>
    </w:p>
    <w:p w14:paraId="1EADACF5" w14:textId="5AF91B99" w:rsidR="009C2AB2" w:rsidRPr="0077427C" w:rsidRDefault="009C2AB2" w:rsidP="009C2AB2">
      <w:pPr>
        <w:rPr>
          <w:rFonts w:ascii="Times New Roman" w:hAnsi="Times New Roman"/>
          <w:sz w:val="26"/>
          <w:szCs w:val="26"/>
        </w:rPr>
      </w:pPr>
      <w:r w:rsidRPr="0077427C">
        <w:rPr>
          <w:rFonts w:ascii="Times New Roman" w:hAnsi="Times New Roman"/>
          <w:sz w:val="26"/>
          <w:szCs w:val="26"/>
        </w:rPr>
        <w:t xml:space="preserve">Kyoto Club ha ricordato che il patrimonio immobiliare italiano è molto vecchio, in quanto l'85 per cento degli immobili ha superato i trent'anni e l'80 per cento degli edifici si trova ancora oggi nelle classi G, F ed E, quindi con elevate dispersioni termiche. L'obsolescenza degli edifici e i rilevanti consumi di combustibili fossili per il riscaldamento fanno del settore residenziale uno dei maggiori responsabili delle emissioni in atmosfera dell’Italia. </w:t>
      </w:r>
      <w:r w:rsidR="00475C12" w:rsidRPr="0077427C">
        <w:rPr>
          <w:rFonts w:ascii="Times New Roman" w:hAnsi="Times New Roman"/>
          <w:sz w:val="26"/>
          <w:szCs w:val="26"/>
        </w:rPr>
        <w:t>Nel corso dell’aud</w:t>
      </w:r>
      <w:r w:rsidR="00CD16B6" w:rsidRPr="0077427C">
        <w:rPr>
          <w:rFonts w:ascii="Times New Roman" w:hAnsi="Times New Roman"/>
          <w:sz w:val="26"/>
          <w:szCs w:val="26"/>
        </w:rPr>
        <w:t>izione del 4 aprile 2023,</w:t>
      </w:r>
      <w:r w:rsidRPr="0077427C">
        <w:rPr>
          <w:rFonts w:ascii="Times New Roman" w:hAnsi="Times New Roman"/>
          <w:sz w:val="26"/>
          <w:szCs w:val="26"/>
        </w:rPr>
        <w:t xml:space="preserve"> </w:t>
      </w:r>
      <w:r w:rsidR="00CD16B6" w:rsidRPr="0077427C">
        <w:rPr>
          <w:rFonts w:ascii="Times New Roman" w:hAnsi="Times New Roman"/>
          <w:sz w:val="26"/>
          <w:szCs w:val="26"/>
        </w:rPr>
        <w:t xml:space="preserve">è stato </w:t>
      </w:r>
      <w:r w:rsidRPr="0077427C">
        <w:rPr>
          <w:rFonts w:ascii="Times New Roman" w:hAnsi="Times New Roman"/>
          <w:sz w:val="26"/>
          <w:szCs w:val="26"/>
        </w:rPr>
        <w:t>evidenzia</w:t>
      </w:r>
      <w:r w:rsidR="00CD16B6" w:rsidRPr="0077427C">
        <w:rPr>
          <w:rFonts w:ascii="Times New Roman" w:hAnsi="Times New Roman"/>
          <w:sz w:val="26"/>
          <w:szCs w:val="26"/>
        </w:rPr>
        <w:t>to</w:t>
      </w:r>
      <w:r w:rsidRPr="0077427C">
        <w:rPr>
          <w:rFonts w:ascii="Times New Roman" w:hAnsi="Times New Roman"/>
          <w:sz w:val="26"/>
          <w:szCs w:val="26"/>
        </w:rPr>
        <w:t xml:space="preserve"> che in otto anni sono stati investiti 30 miliardi di euro dedicati all'ecobonus, con un risparmio energetico di circa un megatep all'anno, che rappresenta una crescita abbastanza lenta. Invece il </w:t>
      </w:r>
      <w:r w:rsidRPr="0077427C">
        <w:rPr>
          <w:rFonts w:ascii="Times New Roman" w:hAnsi="Times New Roman"/>
          <w:i/>
          <w:sz w:val="26"/>
          <w:szCs w:val="26"/>
        </w:rPr>
        <w:t>superbonus</w:t>
      </w:r>
      <w:r w:rsidRPr="0077427C">
        <w:rPr>
          <w:rFonts w:ascii="Times New Roman" w:hAnsi="Times New Roman"/>
          <w:sz w:val="26"/>
          <w:szCs w:val="26"/>
        </w:rPr>
        <w:t xml:space="preserve">, nonostante le criticità, ha permesso in soli due anni, con un investimento pari al doppio, quindi 62 miliardi di euro, di conseguire esattamente la stessa entità di risparmi di energia primaria fossile. Di conseguenza il costo del superbonus rispetto a quello del vecchio ecobonus è pari a più del doppio (5,4 euro a kWh all'anno, secondo i dati ENEA). Si tratta quindi, secondo il Kyoto Club, di una misura efficace in termini di </w:t>
      </w:r>
      <w:r w:rsidR="00DF736B" w:rsidRPr="0077427C">
        <w:rPr>
          <w:rFonts w:ascii="Times New Roman" w:hAnsi="Times New Roman"/>
          <w:sz w:val="26"/>
          <w:szCs w:val="26"/>
        </w:rPr>
        <w:t>dimin</w:t>
      </w:r>
      <w:r w:rsidRPr="0077427C">
        <w:rPr>
          <w:rFonts w:ascii="Times New Roman" w:hAnsi="Times New Roman"/>
          <w:sz w:val="26"/>
          <w:szCs w:val="26"/>
        </w:rPr>
        <w:t xml:space="preserve">uzione in tempi ridotti delle emissioni di energia primaria fossile degli edifici, ma poco efficiente sotto il profilo della finanza pubblica. Se prima dell’introduzione del superbonus si registrava un tasso di riqualificazione di edifici molto lento, ben al di sotto dell'1 per cento all'anno, con il </w:t>
      </w:r>
      <w:r w:rsidRPr="0077427C">
        <w:rPr>
          <w:rFonts w:ascii="Times New Roman" w:hAnsi="Times New Roman"/>
          <w:i/>
          <w:sz w:val="26"/>
          <w:szCs w:val="26"/>
        </w:rPr>
        <w:t>superbonus</w:t>
      </w:r>
      <w:r w:rsidRPr="0077427C">
        <w:rPr>
          <w:rFonts w:ascii="Times New Roman" w:hAnsi="Times New Roman"/>
          <w:sz w:val="26"/>
          <w:szCs w:val="26"/>
        </w:rPr>
        <w:t xml:space="preserve"> l'intervento in un anno </w:t>
      </w:r>
      <w:r w:rsidR="00DD4058" w:rsidRPr="0077427C">
        <w:rPr>
          <w:rFonts w:ascii="Times New Roman" w:hAnsi="Times New Roman"/>
          <w:sz w:val="26"/>
          <w:szCs w:val="26"/>
        </w:rPr>
        <w:t xml:space="preserve">ha riguardato </w:t>
      </w:r>
      <w:r w:rsidRPr="0077427C">
        <w:rPr>
          <w:rFonts w:ascii="Times New Roman" w:hAnsi="Times New Roman"/>
          <w:sz w:val="26"/>
          <w:szCs w:val="26"/>
        </w:rPr>
        <w:t xml:space="preserve">400.000 edifici, </w:t>
      </w:r>
      <w:r w:rsidR="00DD4058" w:rsidRPr="0077427C">
        <w:rPr>
          <w:rFonts w:ascii="Times New Roman" w:hAnsi="Times New Roman"/>
          <w:sz w:val="26"/>
          <w:szCs w:val="26"/>
        </w:rPr>
        <w:t>da</w:t>
      </w:r>
      <w:r w:rsidRPr="0077427C">
        <w:rPr>
          <w:rFonts w:ascii="Times New Roman" w:hAnsi="Times New Roman"/>
          <w:sz w:val="26"/>
          <w:szCs w:val="26"/>
        </w:rPr>
        <w:t xml:space="preserve"> piccole villette fino ai grandi condomini, che significa un 4 o 5 per cento nell'arco temporale di due anni. Secondo il Kyoto Club ci si è quindi avvicinati a quell'obiettivo del 3 per cento all'anno di riqualificazione, che è un obiettivo che dovrebbe portare da qui al 2030 e poi al 2050 agli obiettivi generali di meno 55 per cento in termini di riduzione di emissioni, quindi un forte acceleratore. Il 21 per cento degli edifici, soggetti al superbonus, è passato dalla classe energetica G ed F (quindi quelle meno efficienti) ad una classe energetica dalla 1 alla 4, investendo il 28 per cento complessivo delle risorse</w:t>
      </w:r>
      <w:r w:rsidR="002A5FA5" w:rsidRPr="0077427C">
        <w:rPr>
          <w:rFonts w:ascii="Times New Roman" w:hAnsi="Times New Roman"/>
          <w:sz w:val="26"/>
          <w:szCs w:val="26"/>
        </w:rPr>
        <w:t>, ossia circa</w:t>
      </w:r>
      <w:r w:rsidRPr="0077427C">
        <w:rPr>
          <w:rFonts w:ascii="Times New Roman" w:hAnsi="Times New Roman"/>
          <w:sz w:val="26"/>
          <w:szCs w:val="26"/>
        </w:rPr>
        <w:t xml:space="preserve"> 17/18 miliardi. </w:t>
      </w:r>
      <w:r w:rsidR="002A5FA5" w:rsidRPr="0077427C">
        <w:rPr>
          <w:rFonts w:ascii="Times New Roman" w:hAnsi="Times New Roman"/>
          <w:sz w:val="26"/>
          <w:szCs w:val="26"/>
        </w:rPr>
        <w:t>I</w:t>
      </w:r>
      <w:r w:rsidRPr="0077427C">
        <w:rPr>
          <w:rFonts w:ascii="Times New Roman" w:hAnsi="Times New Roman"/>
          <w:sz w:val="26"/>
          <w:szCs w:val="26"/>
        </w:rPr>
        <w:t xml:space="preserve">l 28 per cento delle risorse ha generato il 70 per cento di quel milione di tonnellate equivalenti di petrolio complessivamente generate, in termini di riduzione di energia primaria fossile, dall'intero ammontare delle risorse destinate al superbonus. Quindi esiste, rimodulando la misura, </w:t>
      </w:r>
      <w:r w:rsidR="002A5FA5" w:rsidRPr="0077427C">
        <w:rPr>
          <w:rFonts w:ascii="Times New Roman" w:hAnsi="Times New Roman"/>
          <w:sz w:val="26"/>
          <w:szCs w:val="26"/>
        </w:rPr>
        <w:t xml:space="preserve">secondo i rappresentanti di Kyoto Club, </w:t>
      </w:r>
      <w:r w:rsidRPr="0077427C">
        <w:rPr>
          <w:rFonts w:ascii="Times New Roman" w:hAnsi="Times New Roman"/>
          <w:sz w:val="26"/>
          <w:szCs w:val="26"/>
        </w:rPr>
        <w:t xml:space="preserve">la possibilità di indirizzare meglio le risorse, contenendole all'interno di un quadro di compatibilità con la finanza pubblica, massimizzando però i risultati. </w:t>
      </w:r>
    </w:p>
    <w:p w14:paraId="07D0FAA4" w14:textId="77777777" w:rsidR="009C2AB2" w:rsidRPr="0077427C" w:rsidRDefault="009C2AB2" w:rsidP="009C2AB2">
      <w:pPr>
        <w:rPr>
          <w:rFonts w:ascii="Times New Roman" w:hAnsi="Times New Roman"/>
          <w:sz w:val="26"/>
          <w:szCs w:val="26"/>
        </w:rPr>
      </w:pPr>
      <w:r w:rsidRPr="0077427C">
        <w:rPr>
          <w:rFonts w:ascii="Times New Roman" w:hAnsi="Times New Roman"/>
          <w:sz w:val="26"/>
          <w:szCs w:val="26"/>
        </w:rPr>
        <w:t>Nel documento consegnato nel corso dell’audizione viene inoltre sottolineato che il superbonus è risultato promotore di nuove tecnologie (su involucro), ma soprattutto su impianti (pompe di calore, anche geotermiche, e fotovoltaico), indirizzate alla decarbonizzazione e all’indipendenza energetica.</w:t>
      </w:r>
    </w:p>
    <w:p w14:paraId="772C0B90" w14:textId="77777777" w:rsidR="009C2AB2" w:rsidRPr="0077427C" w:rsidRDefault="009C2AB2" w:rsidP="00321F58">
      <w:pPr>
        <w:rPr>
          <w:rFonts w:ascii="Times New Roman" w:hAnsi="Times New Roman"/>
          <w:sz w:val="26"/>
          <w:szCs w:val="26"/>
        </w:rPr>
      </w:pPr>
      <w:r w:rsidRPr="0077427C">
        <w:rPr>
          <w:rFonts w:ascii="Times New Roman" w:hAnsi="Times New Roman"/>
          <w:sz w:val="26"/>
          <w:szCs w:val="26"/>
        </w:rPr>
        <w:t xml:space="preserve">In termini di proposte, il Kyoto Club suggerisce di rimodulare gli incentivi sulla base dell'energia primaria fossile risparmiata (nel documento consegnato nel corso dell’audizione viene proposto, quale obiettivo minimo per l’accesso a qualunque forma di detrazioni per interventi di efficienza energetica, il miglioramento di almeno una classe energetica), intervenendo prioritariamente sulle classi energetiche G e F, ossia sugli edifici che prevalentemente sono abitati da famiglie che non hanno avuto fino ad oggi la possibilità di riqualificare quegli immobili, eliminando invece gli incentivi per tutti quei soggetti e per quelle tecnologie (ad esempio le caldaie), che comunque vengono sostituite senza la necessità di incentivi, perché esiste un obbligo dal 2015 (nel documento consegnato nel corso dell’audizione viene ricordato che le caldaie a condensazione sono la tecnologia per il riscaldamento «minima» che per legge può essere immessa sul mercato dal 2015 dall’entrata in vigore del </w:t>
      </w:r>
      <w:r w:rsidR="00321F58" w:rsidRPr="0077427C">
        <w:rPr>
          <w:rFonts w:ascii="Times New Roman" w:hAnsi="Times New Roman"/>
          <w:sz w:val="26"/>
          <w:szCs w:val="26"/>
        </w:rPr>
        <w:t>r</w:t>
      </w:r>
      <w:r w:rsidRPr="0077427C">
        <w:rPr>
          <w:rFonts w:ascii="Times New Roman" w:hAnsi="Times New Roman"/>
          <w:sz w:val="26"/>
          <w:szCs w:val="26"/>
        </w:rPr>
        <w:t xml:space="preserve">egolamento </w:t>
      </w:r>
      <w:r w:rsidR="00321F58" w:rsidRPr="0077427C">
        <w:rPr>
          <w:rFonts w:ascii="Times New Roman" w:hAnsi="Times New Roman"/>
          <w:sz w:val="26"/>
          <w:szCs w:val="26"/>
        </w:rPr>
        <w:t>e</w:t>
      </w:r>
      <w:r w:rsidRPr="0077427C">
        <w:rPr>
          <w:rFonts w:ascii="Times New Roman" w:hAnsi="Times New Roman"/>
          <w:sz w:val="26"/>
          <w:szCs w:val="26"/>
        </w:rPr>
        <w:t>uropeo 813/2013). Il Kyoto Club ritiene inoltre opportuno valutare il tema della cessione del credito per gli incapienti o comunque per coloro i quali non hanno la possibilità di portare in detrazione gli incentivi fiscali. Nel documento consegnato nel corso dell’audizione viene inoltre ritenuto opportuno pianificare la progressiva eliminazione delle caldaie a condensazione, come già previsto in altri Paesi europei, nonché attuare una razionalizzazione degli schemi esistenti che dovrà garantire un orizzonte applicativo stabile nel medio-lungo termine, a beneficio di cittadini e imprese.</w:t>
      </w:r>
    </w:p>
    <w:p w14:paraId="6FC49709" w14:textId="77777777" w:rsidR="009C2AB2" w:rsidRPr="0077427C" w:rsidRDefault="009C2AB2" w:rsidP="009C2AB2">
      <w:pPr>
        <w:rPr>
          <w:rFonts w:ascii="Times New Roman" w:hAnsi="Times New Roman"/>
          <w:sz w:val="26"/>
          <w:szCs w:val="26"/>
        </w:rPr>
      </w:pPr>
    </w:p>
    <w:p w14:paraId="63E31AB2" w14:textId="77777777" w:rsidR="00495650" w:rsidRPr="0077427C" w:rsidRDefault="00495650" w:rsidP="00321F58">
      <w:pPr>
        <w:rPr>
          <w:rFonts w:ascii="Times New Roman" w:hAnsi="Times New Roman"/>
          <w:i/>
          <w:sz w:val="26"/>
          <w:szCs w:val="26"/>
        </w:rPr>
      </w:pPr>
      <w:r w:rsidRPr="0077427C">
        <w:rPr>
          <w:rFonts w:ascii="Times New Roman" w:hAnsi="Times New Roman"/>
          <w:b/>
          <w:sz w:val="26"/>
          <w:szCs w:val="26"/>
        </w:rPr>
        <w:t>Confartigianato</w:t>
      </w:r>
      <w:r w:rsidRPr="0077427C">
        <w:rPr>
          <w:rFonts w:ascii="Times New Roman" w:hAnsi="Times New Roman"/>
          <w:sz w:val="26"/>
          <w:szCs w:val="26"/>
        </w:rPr>
        <w:t xml:space="preserve"> e </w:t>
      </w:r>
      <w:r w:rsidRPr="0077427C">
        <w:rPr>
          <w:rFonts w:ascii="Times New Roman" w:hAnsi="Times New Roman"/>
          <w:b/>
          <w:sz w:val="26"/>
          <w:szCs w:val="26"/>
        </w:rPr>
        <w:t>Confederazione nazionale dell'artigianato e della piccola e media impresa (CNA)</w:t>
      </w:r>
      <w:r w:rsidRPr="0077427C">
        <w:rPr>
          <w:rFonts w:ascii="Times New Roman" w:hAnsi="Times New Roman"/>
          <w:i/>
          <w:sz w:val="26"/>
          <w:szCs w:val="26"/>
        </w:rPr>
        <w:t xml:space="preserve"> </w:t>
      </w:r>
    </w:p>
    <w:p w14:paraId="1A840432" w14:textId="03EBDA67" w:rsidR="00BC4B16" w:rsidRPr="0077427C" w:rsidRDefault="00BC4B16" w:rsidP="00495650">
      <w:pPr>
        <w:rPr>
          <w:rFonts w:ascii="Times New Roman" w:hAnsi="Times New Roman"/>
          <w:sz w:val="26"/>
          <w:szCs w:val="26"/>
        </w:rPr>
      </w:pPr>
      <w:r w:rsidRPr="0077427C">
        <w:rPr>
          <w:rFonts w:ascii="Times New Roman" w:hAnsi="Times New Roman"/>
          <w:sz w:val="26"/>
          <w:szCs w:val="26"/>
        </w:rPr>
        <w:t>Nel corso dell’</w:t>
      </w:r>
      <w:r w:rsidR="00371480" w:rsidRPr="0077427C">
        <w:rPr>
          <w:rFonts w:ascii="Times New Roman" w:hAnsi="Times New Roman"/>
          <w:sz w:val="26"/>
          <w:szCs w:val="26"/>
        </w:rPr>
        <w:t>audizione del 19 aprile 2023</w:t>
      </w:r>
      <w:r w:rsidRPr="0077427C">
        <w:rPr>
          <w:rFonts w:ascii="Times New Roman" w:hAnsi="Times New Roman"/>
          <w:sz w:val="26"/>
          <w:szCs w:val="26"/>
        </w:rPr>
        <w:t>,</w:t>
      </w:r>
      <w:r w:rsidR="00495650" w:rsidRPr="0077427C">
        <w:rPr>
          <w:rFonts w:ascii="Times New Roman" w:hAnsi="Times New Roman"/>
          <w:sz w:val="26"/>
          <w:szCs w:val="26"/>
        </w:rPr>
        <w:t xml:space="preserve"> </w:t>
      </w:r>
      <w:r w:rsidRPr="0077427C">
        <w:rPr>
          <w:rFonts w:ascii="Times New Roman" w:hAnsi="Times New Roman"/>
          <w:sz w:val="26"/>
          <w:szCs w:val="26"/>
        </w:rPr>
        <w:t>è stato</w:t>
      </w:r>
      <w:r w:rsidR="009C2AB2" w:rsidRPr="0077427C">
        <w:rPr>
          <w:rFonts w:ascii="Times New Roman" w:hAnsi="Times New Roman"/>
          <w:sz w:val="26"/>
          <w:szCs w:val="26"/>
        </w:rPr>
        <w:t xml:space="preserve"> evidenziato che nei due anni di vigenza dei cosiddetti “bonus rafforzati” introdotti durante la fase pandemica, si è avuta una crescita degli investimenti di oltre 72 miliardi di euro, trainati</w:t>
      </w:r>
      <w:r w:rsidR="001373B6" w:rsidRPr="0077427C">
        <w:rPr>
          <w:rFonts w:ascii="Times New Roman" w:hAnsi="Times New Roman"/>
          <w:sz w:val="26"/>
          <w:szCs w:val="26"/>
        </w:rPr>
        <w:t xml:space="preserve"> non solo</w:t>
      </w:r>
      <w:r w:rsidR="009C2AB2" w:rsidRPr="0077427C">
        <w:rPr>
          <w:rFonts w:ascii="Times New Roman" w:hAnsi="Times New Roman"/>
          <w:sz w:val="26"/>
          <w:szCs w:val="26"/>
        </w:rPr>
        <w:t xml:space="preserve"> </w:t>
      </w:r>
      <w:r w:rsidR="001373B6" w:rsidRPr="0077427C">
        <w:rPr>
          <w:rFonts w:ascii="Times New Roman" w:hAnsi="Times New Roman"/>
          <w:sz w:val="26"/>
          <w:szCs w:val="26"/>
        </w:rPr>
        <w:t>dal</w:t>
      </w:r>
      <w:r w:rsidR="009C2AB2" w:rsidRPr="0077427C">
        <w:rPr>
          <w:rFonts w:ascii="Times New Roman" w:hAnsi="Times New Roman"/>
          <w:sz w:val="26"/>
          <w:szCs w:val="26"/>
        </w:rPr>
        <w:t xml:space="preserve"> </w:t>
      </w:r>
      <w:r w:rsidR="009C2AB2" w:rsidRPr="0077427C">
        <w:rPr>
          <w:rFonts w:ascii="Times New Roman" w:hAnsi="Times New Roman"/>
          <w:i/>
          <w:sz w:val="26"/>
          <w:szCs w:val="26"/>
        </w:rPr>
        <w:t>superbonus</w:t>
      </w:r>
      <w:r w:rsidR="009C2AB2" w:rsidRPr="0077427C">
        <w:rPr>
          <w:rFonts w:ascii="Times New Roman" w:hAnsi="Times New Roman"/>
          <w:sz w:val="26"/>
          <w:szCs w:val="26"/>
        </w:rPr>
        <w:t xml:space="preserve">, ma anche dai bonus minori, </w:t>
      </w:r>
      <w:r w:rsidR="00C10B5C" w:rsidRPr="0077427C">
        <w:rPr>
          <w:rFonts w:ascii="Times New Roman" w:hAnsi="Times New Roman"/>
          <w:sz w:val="26"/>
          <w:szCs w:val="26"/>
        </w:rPr>
        <w:t xml:space="preserve">che </w:t>
      </w:r>
      <w:r w:rsidR="009C2AB2" w:rsidRPr="0077427C">
        <w:rPr>
          <w:rFonts w:ascii="Times New Roman" w:hAnsi="Times New Roman"/>
          <w:sz w:val="26"/>
          <w:szCs w:val="26"/>
        </w:rPr>
        <w:t>hanno avuto un incremento significativo. Ciò vuol dire che il quadro complessivo</w:t>
      </w:r>
      <w:r w:rsidR="00583C1B" w:rsidRPr="0077427C">
        <w:rPr>
          <w:rFonts w:ascii="Times New Roman" w:hAnsi="Times New Roman"/>
          <w:sz w:val="26"/>
          <w:szCs w:val="26"/>
        </w:rPr>
        <w:t>,</w:t>
      </w:r>
      <w:r w:rsidR="009C2AB2" w:rsidRPr="0077427C">
        <w:rPr>
          <w:rFonts w:ascii="Times New Roman" w:hAnsi="Times New Roman"/>
          <w:sz w:val="26"/>
          <w:szCs w:val="26"/>
        </w:rPr>
        <w:t xml:space="preserve"> che si era delineato dal 2020 in poi</w:t>
      </w:r>
      <w:r w:rsidR="00583C1B" w:rsidRPr="0077427C">
        <w:rPr>
          <w:rFonts w:ascii="Times New Roman" w:hAnsi="Times New Roman"/>
          <w:sz w:val="26"/>
          <w:szCs w:val="26"/>
        </w:rPr>
        <w:t>,</w:t>
      </w:r>
      <w:r w:rsidR="009C2AB2" w:rsidRPr="0077427C">
        <w:rPr>
          <w:rFonts w:ascii="Times New Roman" w:hAnsi="Times New Roman"/>
          <w:sz w:val="26"/>
          <w:szCs w:val="26"/>
        </w:rPr>
        <w:t xml:space="preserve"> ha in qualche modo traina</w:t>
      </w:r>
      <w:r w:rsidR="00583C1B" w:rsidRPr="0077427C">
        <w:rPr>
          <w:rFonts w:ascii="Times New Roman" w:hAnsi="Times New Roman"/>
          <w:sz w:val="26"/>
          <w:szCs w:val="26"/>
        </w:rPr>
        <w:t>to</w:t>
      </w:r>
      <w:r w:rsidR="009C2AB2" w:rsidRPr="0077427C">
        <w:rPr>
          <w:rFonts w:ascii="Times New Roman" w:hAnsi="Times New Roman"/>
          <w:sz w:val="26"/>
          <w:szCs w:val="26"/>
        </w:rPr>
        <w:t xml:space="preserve"> anche gli interventi</w:t>
      </w:r>
      <w:r w:rsidR="00583C1B" w:rsidRPr="0077427C">
        <w:rPr>
          <w:rFonts w:ascii="Times New Roman" w:hAnsi="Times New Roman"/>
          <w:sz w:val="26"/>
          <w:szCs w:val="26"/>
        </w:rPr>
        <w:t>,</w:t>
      </w:r>
      <w:r w:rsidR="009C2AB2" w:rsidRPr="0077427C">
        <w:rPr>
          <w:rFonts w:ascii="Times New Roman" w:hAnsi="Times New Roman"/>
          <w:sz w:val="26"/>
          <w:szCs w:val="26"/>
        </w:rPr>
        <w:t xml:space="preserve"> che già precedentemente godevano di benefici importanti. Quanto ai benefici ottenuti, nel periodo 2014-2021 (in cui operava solo l’ecobonus, ed escludendo quindi il superbonus dai dati) si sono registrati circa oltre 11 mila gigawattora di risparmio annuo; a partire dal 2011, questo risparmio annuo si </w:t>
      </w:r>
      <w:r w:rsidRPr="0077427C">
        <w:rPr>
          <w:rFonts w:ascii="Times New Roman" w:hAnsi="Times New Roman"/>
          <w:sz w:val="26"/>
          <w:szCs w:val="26"/>
        </w:rPr>
        <w:t xml:space="preserve">è </w:t>
      </w:r>
      <w:r w:rsidR="009C2AB2" w:rsidRPr="0077427C">
        <w:rPr>
          <w:rFonts w:ascii="Times New Roman" w:hAnsi="Times New Roman"/>
          <w:sz w:val="26"/>
          <w:szCs w:val="26"/>
        </w:rPr>
        <w:t>assesta</w:t>
      </w:r>
      <w:r w:rsidRPr="0077427C">
        <w:rPr>
          <w:rFonts w:ascii="Times New Roman" w:hAnsi="Times New Roman"/>
          <w:sz w:val="26"/>
          <w:szCs w:val="26"/>
        </w:rPr>
        <w:t>to</w:t>
      </w:r>
      <w:r w:rsidR="009C2AB2" w:rsidRPr="0077427C">
        <w:rPr>
          <w:rFonts w:ascii="Times New Roman" w:hAnsi="Times New Roman"/>
          <w:sz w:val="26"/>
          <w:szCs w:val="26"/>
        </w:rPr>
        <w:t xml:space="preserve"> per ogni anno su una media di oltre 15 mila gigawatt. </w:t>
      </w:r>
    </w:p>
    <w:p w14:paraId="55A1AA5C" w14:textId="77777777" w:rsidR="009C2AB2" w:rsidRPr="0077427C" w:rsidRDefault="009C2AB2" w:rsidP="00495650">
      <w:pPr>
        <w:rPr>
          <w:rFonts w:ascii="Times New Roman" w:hAnsi="Times New Roman"/>
          <w:i/>
          <w:sz w:val="26"/>
          <w:szCs w:val="26"/>
        </w:rPr>
      </w:pPr>
      <w:r w:rsidRPr="0077427C">
        <w:rPr>
          <w:rFonts w:ascii="Times New Roman" w:hAnsi="Times New Roman"/>
          <w:sz w:val="26"/>
          <w:szCs w:val="26"/>
        </w:rPr>
        <w:t xml:space="preserve">L'introduzione del superbonus ha sostanzialmente quasi fatto raddoppiare questi vantaggi, </w:t>
      </w:r>
      <w:r w:rsidR="00BC4B16" w:rsidRPr="0077427C">
        <w:rPr>
          <w:rFonts w:ascii="Times New Roman" w:hAnsi="Times New Roman"/>
          <w:sz w:val="26"/>
          <w:szCs w:val="26"/>
        </w:rPr>
        <w:t>con</w:t>
      </w:r>
      <w:r w:rsidRPr="0077427C">
        <w:rPr>
          <w:rFonts w:ascii="Times New Roman" w:hAnsi="Times New Roman"/>
          <w:sz w:val="26"/>
          <w:szCs w:val="26"/>
        </w:rPr>
        <w:t xml:space="preserve"> ulteriori 10.800 gigawatt di risparmio annuo. Quindi sostanzialmente la combinazione di questi incentivi, intesa complessivamente, ha prodotto risparmi energetici significativi. </w:t>
      </w:r>
      <w:proofErr w:type="gramStart"/>
      <w:r w:rsidRPr="0077427C">
        <w:rPr>
          <w:rFonts w:ascii="Times New Roman" w:hAnsi="Times New Roman"/>
          <w:sz w:val="26"/>
          <w:szCs w:val="26"/>
        </w:rPr>
        <w:t>Inoltre</w:t>
      </w:r>
      <w:proofErr w:type="gramEnd"/>
      <w:r w:rsidRPr="0077427C">
        <w:rPr>
          <w:rFonts w:ascii="Times New Roman" w:hAnsi="Times New Roman"/>
          <w:sz w:val="26"/>
          <w:szCs w:val="26"/>
        </w:rPr>
        <w:t xml:space="preserve"> il </w:t>
      </w:r>
      <w:r w:rsidRPr="0077427C">
        <w:rPr>
          <w:rFonts w:ascii="Times New Roman" w:hAnsi="Times New Roman"/>
          <w:i/>
          <w:sz w:val="26"/>
          <w:szCs w:val="26"/>
        </w:rPr>
        <w:t>superbonus</w:t>
      </w:r>
      <w:r w:rsidRPr="0077427C">
        <w:rPr>
          <w:rFonts w:ascii="Times New Roman" w:hAnsi="Times New Roman"/>
          <w:sz w:val="26"/>
          <w:szCs w:val="26"/>
        </w:rPr>
        <w:t xml:space="preserve"> ha trainato 143 GWh/anno di nuova potenza installata da FER e nel 2022 due impianti fotovoltaici su tre sono stati realizzati grazie all'accesso al </w:t>
      </w:r>
      <w:r w:rsidRPr="0077427C">
        <w:rPr>
          <w:rFonts w:ascii="Times New Roman" w:hAnsi="Times New Roman"/>
          <w:i/>
          <w:sz w:val="26"/>
          <w:szCs w:val="26"/>
        </w:rPr>
        <w:t>superbonus</w:t>
      </w:r>
      <w:r w:rsidRPr="0077427C">
        <w:rPr>
          <w:rFonts w:ascii="Times New Roman" w:hAnsi="Times New Roman"/>
          <w:sz w:val="26"/>
          <w:szCs w:val="26"/>
        </w:rPr>
        <w:t xml:space="preserve">. Un altro elemento importante si desume dall'ultimo rapporto dell'Enea, cioè che nell'ambito del parco immobiliare vetusto (in cui oltre il 70 per cento degli immobili </w:t>
      </w:r>
      <w:r w:rsidR="00CD32A1" w:rsidRPr="0077427C">
        <w:rPr>
          <w:rFonts w:ascii="Times New Roman" w:hAnsi="Times New Roman"/>
          <w:sz w:val="26"/>
          <w:szCs w:val="26"/>
        </w:rPr>
        <w:t>si trova</w:t>
      </w:r>
      <w:r w:rsidRPr="0077427C">
        <w:rPr>
          <w:rFonts w:ascii="Times New Roman" w:hAnsi="Times New Roman"/>
          <w:sz w:val="26"/>
          <w:szCs w:val="26"/>
        </w:rPr>
        <w:t xml:space="preserve"> nelle classi più basse E, F e G) si è registrato negli ultimi due anni, grazie appunto alla combinazione di questi incentivi, </w:t>
      </w:r>
      <w:proofErr w:type="gramStart"/>
      <w:r w:rsidRPr="0077427C">
        <w:rPr>
          <w:rFonts w:ascii="Times New Roman" w:hAnsi="Times New Roman"/>
          <w:sz w:val="26"/>
          <w:szCs w:val="26"/>
        </w:rPr>
        <w:t xml:space="preserve">un </w:t>
      </w:r>
      <w:r w:rsidRPr="0077427C">
        <w:rPr>
          <w:rFonts w:ascii="Times New Roman" w:hAnsi="Times New Roman"/>
          <w:i/>
          <w:sz w:val="26"/>
          <w:szCs w:val="26"/>
        </w:rPr>
        <w:t>trend</w:t>
      </w:r>
      <w:r w:rsidRPr="0077427C">
        <w:rPr>
          <w:rFonts w:ascii="Times New Roman" w:hAnsi="Times New Roman"/>
          <w:sz w:val="26"/>
          <w:szCs w:val="26"/>
        </w:rPr>
        <w:t xml:space="preserve"> positivo</w:t>
      </w:r>
      <w:proofErr w:type="gramEnd"/>
      <w:r w:rsidRPr="0077427C">
        <w:rPr>
          <w:rFonts w:ascii="Times New Roman" w:hAnsi="Times New Roman"/>
          <w:sz w:val="26"/>
          <w:szCs w:val="26"/>
        </w:rPr>
        <w:t xml:space="preserve"> di riduzione delle classi più basse. La distribuzione degli attestati di prestazione energetica nelle varie classi vede uno spostamento verso le classi migliori grazie sia ai bonus, ma grazie anche agli obblighi di realizzazione di nuova edilizia (</w:t>
      </w:r>
      <w:proofErr w:type="spellStart"/>
      <w:r w:rsidRPr="0077427C">
        <w:rPr>
          <w:rFonts w:ascii="Times New Roman" w:hAnsi="Times New Roman"/>
          <w:i/>
          <w:sz w:val="26"/>
          <w:szCs w:val="26"/>
        </w:rPr>
        <w:t>Near</w:t>
      </w:r>
      <w:proofErr w:type="spellEnd"/>
      <w:r w:rsidRPr="0077427C">
        <w:rPr>
          <w:rFonts w:ascii="Times New Roman" w:hAnsi="Times New Roman"/>
          <w:i/>
          <w:sz w:val="26"/>
          <w:szCs w:val="26"/>
        </w:rPr>
        <w:t xml:space="preserve"> Zero Energy Building</w:t>
      </w:r>
      <w:r w:rsidRPr="0077427C">
        <w:rPr>
          <w:rFonts w:ascii="Times New Roman" w:hAnsi="Times New Roman"/>
          <w:sz w:val="26"/>
          <w:szCs w:val="26"/>
        </w:rPr>
        <w:t xml:space="preserve">). </w:t>
      </w:r>
      <w:proofErr w:type="gramStart"/>
      <w:r w:rsidR="00CD32A1" w:rsidRPr="0077427C">
        <w:rPr>
          <w:rFonts w:ascii="Times New Roman" w:hAnsi="Times New Roman"/>
          <w:sz w:val="26"/>
          <w:szCs w:val="26"/>
        </w:rPr>
        <w:t>E’</w:t>
      </w:r>
      <w:proofErr w:type="gramEnd"/>
      <w:r w:rsidR="00CD32A1" w:rsidRPr="0077427C">
        <w:rPr>
          <w:rFonts w:ascii="Times New Roman" w:hAnsi="Times New Roman"/>
          <w:sz w:val="26"/>
          <w:szCs w:val="26"/>
        </w:rPr>
        <w:t xml:space="preserve"> stato inoltre rilevato che purtroppo, nel sistema degli incentivi, il</w:t>
      </w:r>
      <w:r w:rsidRPr="0077427C">
        <w:rPr>
          <w:rFonts w:ascii="Times New Roman" w:hAnsi="Times New Roman"/>
          <w:sz w:val="26"/>
          <w:szCs w:val="26"/>
        </w:rPr>
        <w:t xml:space="preserve"> </w:t>
      </w:r>
      <w:proofErr w:type="spellStart"/>
      <w:r w:rsidRPr="0077427C">
        <w:rPr>
          <w:rFonts w:ascii="Times New Roman" w:hAnsi="Times New Roman"/>
          <w:i/>
          <w:sz w:val="26"/>
          <w:szCs w:val="26"/>
        </w:rPr>
        <w:t>sismabonus</w:t>
      </w:r>
      <w:proofErr w:type="spellEnd"/>
      <w:r w:rsidRPr="0077427C">
        <w:rPr>
          <w:rFonts w:ascii="Times New Roman" w:hAnsi="Times New Roman"/>
          <w:sz w:val="26"/>
          <w:szCs w:val="26"/>
        </w:rPr>
        <w:t xml:space="preserve"> è riuscito a esprimere in misura minore le proprie potenzialità. </w:t>
      </w:r>
    </w:p>
    <w:p w14:paraId="36116E1A" w14:textId="77777777" w:rsidR="009C2AB2" w:rsidRPr="0077427C" w:rsidRDefault="009C2AB2" w:rsidP="009C2AB2">
      <w:pPr>
        <w:rPr>
          <w:rFonts w:ascii="Times New Roman" w:hAnsi="Times New Roman"/>
          <w:sz w:val="26"/>
          <w:szCs w:val="26"/>
        </w:rPr>
      </w:pPr>
      <w:r w:rsidRPr="0077427C">
        <w:rPr>
          <w:rFonts w:ascii="Times New Roman" w:hAnsi="Times New Roman"/>
          <w:sz w:val="26"/>
          <w:szCs w:val="26"/>
        </w:rPr>
        <w:t>Secondo Confartigianato e CNA, i dati evidenziano che comunque questi bonus in qualche modo rimangono una leva necessaria per proseguire nel percorso di riduzione dei consumi energetici delle abitazioni e più complessivamente di riqualificazione e di innalzamento della qualità degli immobili. Ritengono, pertanto, che sia questa la fase per rimettere mano complessivamente al sistema degli incentivi, in una logica di riordino e di rimodulazione delle percentuali incentivanti, con l'obiettivo di un quadro stabile, certo, trasparente, non soggetto a continue modifiche e magari che sia in grado di anticipare gli sforzi da compiere in attuazione della nuova</w:t>
      </w:r>
      <w:r w:rsidR="00CD32A1" w:rsidRPr="0077427C">
        <w:rPr>
          <w:rFonts w:ascii="Times New Roman" w:hAnsi="Times New Roman"/>
          <w:sz w:val="26"/>
          <w:szCs w:val="26"/>
        </w:rPr>
        <w:t xml:space="preserve"> </w:t>
      </w:r>
      <w:r w:rsidRPr="0077427C">
        <w:rPr>
          <w:rFonts w:ascii="Times New Roman" w:hAnsi="Times New Roman"/>
          <w:sz w:val="26"/>
          <w:szCs w:val="26"/>
        </w:rPr>
        <w:t>direttiva dell’UE.</w:t>
      </w:r>
    </w:p>
    <w:p w14:paraId="55B9BDC0" w14:textId="50A50420" w:rsidR="009C2AB2" w:rsidRPr="0077427C" w:rsidRDefault="009C2AB2" w:rsidP="009C2AB2">
      <w:pPr>
        <w:rPr>
          <w:rFonts w:ascii="Times New Roman" w:hAnsi="Times New Roman"/>
          <w:sz w:val="26"/>
          <w:szCs w:val="26"/>
        </w:rPr>
      </w:pPr>
      <w:r w:rsidRPr="0077427C">
        <w:rPr>
          <w:rFonts w:ascii="Times New Roman" w:hAnsi="Times New Roman"/>
          <w:sz w:val="26"/>
          <w:szCs w:val="26"/>
        </w:rPr>
        <w:t xml:space="preserve">Nel documento consegnato nel corso dell’audizione viene inoltre sottolineato che, in attesa che la direttiva europea sia approvata e sia chiaro il quadro definitivo degli obiettivi da perseguire, è possibile stimare comunque un fabbisogno da qui a </w:t>
      </w:r>
      <w:r w:rsidR="00583C1B" w:rsidRPr="0077427C">
        <w:rPr>
          <w:rFonts w:ascii="Times New Roman" w:hAnsi="Times New Roman"/>
          <w:sz w:val="26"/>
          <w:szCs w:val="26"/>
        </w:rPr>
        <w:t>dieci</w:t>
      </w:r>
      <w:r w:rsidRPr="0077427C">
        <w:rPr>
          <w:rFonts w:ascii="Times New Roman" w:hAnsi="Times New Roman"/>
          <w:sz w:val="26"/>
          <w:szCs w:val="26"/>
        </w:rPr>
        <w:t xml:space="preserve"> anni di interventi su circa il 70% del parco immobiliare (circa 8 milioni di immobili). Un numero certamente ambizioso, ma conseguibile con una pianificazione</w:t>
      </w:r>
      <w:r w:rsidR="00EA656E" w:rsidRPr="0077427C">
        <w:rPr>
          <w:rFonts w:ascii="Times New Roman" w:hAnsi="Times New Roman"/>
          <w:sz w:val="26"/>
          <w:szCs w:val="26"/>
        </w:rPr>
        <w:t xml:space="preserve"> </w:t>
      </w:r>
      <w:r w:rsidR="00EA656E" w:rsidRPr="0077427C">
        <w:rPr>
          <w:rFonts w:ascii="Times New Roman" w:hAnsi="Times New Roman"/>
          <w:b/>
          <w:sz w:val="26"/>
          <w:szCs w:val="26"/>
        </w:rPr>
        <w:t>efficiente</w:t>
      </w:r>
      <w:r w:rsidRPr="0077427C">
        <w:rPr>
          <w:rFonts w:ascii="Times New Roman" w:hAnsi="Times New Roman"/>
          <w:b/>
          <w:sz w:val="26"/>
          <w:szCs w:val="26"/>
        </w:rPr>
        <w:t xml:space="preserve"> </w:t>
      </w:r>
      <w:r w:rsidRPr="0077427C">
        <w:rPr>
          <w:rFonts w:ascii="Times New Roman" w:hAnsi="Times New Roman"/>
          <w:sz w:val="26"/>
          <w:szCs w:val="26"/>
        </w:rPr>
        <w:t xml:space="preserve">e, soprattutto, con gli strumenti adeguati </w:t>
      </w:r>
      <w:proofErr w:type="gramStart"/>
      <w:r w:rsidRPr="0077427C">
        <w:rPr>
          <w:rFonts w:ascii="Times New Roman" w:hAnsi="Times New Roman"/>
          <w:sz w:val="26"/>
          <w:szCs w:val="26"/>
        </w:rPr>
        <w:t>per</w:t>
      </w:r>
      <w:proofErr w:type="gramEnd"/>
      <w:r w:rsidRPr="0077427C">
        <w:rPr>
          <w:rFonts w:ascii="Times New Roman" w:hAnsi="Times New Roman"/>
          <w:sz w:val="26"/>
          <w:szCs w:val="26"/>
        </w:rPr>
        <w:t xml:space="preserve"> un grande piano di ristrutturazione. </w:t>
      </w:r>
    </w:p>
    <w:p w14:paraId="51B15494" w14:textId="77777777" w:rsidR="009C2AB2" w:rsidRPr="0077427C" w:rsidRDefault="009C2AB2" w:rsidP="009C2AB2">
      <w:pPr>
        <w:ind w:firstLine="0"/>
        <w:rPr>
          <w:rFonts w:ascii="Times New Roman" w:hAnsi="Times New Roman"/>
          <w:sz w:val="26"/>
          <w:szCs w:val="26"/>
        </w:rPr>
      </w:pPr>
    </w:p>
    <w:p w14:paraId="1B0685D6" w14:textId="77777777" w:rsidR="009C2AB2" w:rsidRPr="0077427C" w:rsidRDefault="009C2AB2" w:rsidP="009C2AB2">
      <w:pPr>
        <w:rPr>
          <w:rFonts w:ascii="Times New Roman" w:hAnsi="Times New Roman"/>
          <w:i/>
          <w:sz w:val="26"/>
          <w:szCs w:val="26"/>
        </w:rPr>
      </w:pPr>
      <w:r w:rsidRPr="0077427C">
        <w:rPr>
          <w:rFonts w:ascii="Times New Roman" w:hAnsi="Times New Roman"/>
          <w:b/>
          <w:sz w:val="26"/>
          <w:szCs w:val="26"/>
        </w:rPr>
        <w:t>Alleanza delle Cooperative italiane</w:t>
      </w:r>
      <w:r w:rsidR="00371480" w:rsidRPr="0077427C">
        <w:rPr>
          <w:rFonts w:ascii="Times New Roman" w:hAnsi="Times New Roman"/>
          <w:i/>
          <w:sz w:val="26"/>
          <w:szCs w:val="26"/>
        </w:rPr>
        <w:t xml:space="preserve"> </w:t>
      </w:r>
    </w:p>
    <w:p w14:paraId="644934F0" w14:textId="41D7A042" w:rsidR="009C2AB2" w:rsidRPr="0077427C" w:rsidRDefault="009C2AB2" w:rsidP="00EA656E">
      <w:pPr>
        <w:jc w:val="left"/>
        <w:rPr>
          <w:rFonts w:ascii="Times New Roman" w:hAnsi="Times New Roman"/>
          <w:sz w:val="26"/>
          <w:szCs w:val="26"/>
        </w:rPr>
      </w:pPr>
      <w:r w:rsidRPr="0077427C">
        <w:rPr>
          <w:rFonts w:ascii="Times New Roman" w:hAnsi="Times New Roman"/>
          <w:sz w:val="26"/>
          <w:szCs w:val="26"/>
        </w:rPr>
        <w:t xml:space="preserve">Alleanza delle Cooperative italiane, nel richiamare i dati sulla vetustà del patrimonio immobiliare italiano (il 75% del quale è inefficiente sotto il profilo energetico) e sul fatto che le ristrutturazioni potrebbero consentire un risparmio di energia primaria di oltre il 40-60 per cento, ritiene che nel medio-lungo periodo occorra una sostanziale revisione del sistema di bonus edilizi, in un'ottica di semplicità, compartecipazione degli utenti e stabilità del mercato, affinché questi incentivi non diventino in qualche modo distorsivi </w:t>
      </w:r>
      <w:r w:rsidRPr="0077427C">
        <w:rPr>
          <w:rFonts w:ascii="Times New Roman" w:hAnsi="Times New Roman"/>
          <w:b/>
          <w:sz w:val="26"/>
          <w:szCs w:val="26"/>
        </w:rPr>
        <w:t xml:space="preserve">o </w:t>
      </w:r>
      <w:r w:rsidR="00EA656E" w:rsidRPr="0077427C">
        <w:rPr>
          <w:rFonts w:ascii="Times New Roman" w:hAnsi="Times New Roman"/>
          <w:b/>
          <w:sz w:val="26"/>
          <w:szCs w:val="26"/>
        </w:rPr>
        <w:t xml:space="preserve">siano impiegati in </w:t>
      </w:r>
      <w:r w:rsidRPr="0077427C">
        <w:rPr>
          <w:rFonts w:ascii="Times New Roman" w:hAnsi="Times New Roman"/>
          <w:sz w:val="26"/>
          <w:szCs w:val="26"/>
        </w:rPr>
        <w:t xml:space="preserve">attività che non sono assolutamente trasparenti. Tale revisione dovrebbe – secondo l’Alleanza delle cooperative italiane – essere orientata non solo nella direzione ambientale ma anche in termini di equità, orientando il più possibile gli incentivi ai patrimoni di edilizia residenziale pubblica e sociale. </w:t>
      </w:r>
      <w:proofErr w:type="gramStart"/>
      <w:r w:rsidRPr="0077427C">
        <w:rPr>
          <w:rFonts w:ascii="Times New Roman" w:hAnsi="Times New Roman"/>
          <w:sz w:val="26"/>
          <w:szCs w:val="26"/>
        </w:rPr>
        <w:t>Inoltre</w:t>
      </w:r>
      <w:proofErr w:type="gramEnd"/>
      <w:r w:rsidRPr="0077427C">
        <w:rPr>
          <w:rFonts w:ascii="Times New Roman" w:hAnsi="Times New Roman"/>
          <w:sz w:val="26"/>
          <w:szCs w:val="26"/>
        </w:rPr>
        <w:t xml:space="preserve"> viene auspicata una nuova logica di incentivazione non più mirata al singolo edificio ma di più larga scala (per esempio di quartiere), nonché l’</w:t>
      </w:r>
      <w:proofErr w:type="spellStart"/>
      <w:r w:rsidRPr="0077427C">
        <w:rPr>
          <w:rFonts w:ascii="Times New Roman" w:hAnsi="Times New Roman"/>
          <w:sz w:val="26"/>
          <w:szCs w:val="26"/>
        </w:rPr>
        <w:t>amplimento</w:t>
      </w:r>
      <w:proofErr w:type="spellEnd"/>
      <w:r w:rsidRPr="0077427C">
        <w:rPr>
          <w:rFonts w:ascii="Times New Roman" w:hAnsi="Times New Roman"/>
          <w:sz w:val="26"/>
          <w:szCs w:val="26"/>
        </w:rPr>
        <w:t xml:space="preserve"> degli incentivi anche agli interventi di riqualificazione urbanistica, ciò che consentirebbe di conseguire maggiori impatti ambientali.</w:t>
      </w:r>
      <w:r w:rsidR="00EB63AC" w:rsidRPr="0077427C">
        <w:rPr>
          <w:rFonts w:ascii="Times New Roman" w:hAnsi="Times New Roman"/>
          <w:sz w:val="26"/>
          <w:szCs w:val="26"/>
        </w:rPr>
        <w:t xml:space="preserve"> Appare pertanto auspicabile prevedere l’entrata a regime dell’aliquota del 50% così da poter consentire la programmazione e la realizzazione di interventi più complessi, in particolare quelli di rigenerazione urbana. </w:t>
      </w:r>
    </w:p>
    <w:p w14:paraId="6780BEFD" w14:textId="77777777" w:rsidR="009C2AB2" w:rsidRPr="0077427C" w:rsidRDefault="009C2AB2" w:rsidP="00DF4F06">
      <w:pPr>
        <w:rPr>
          <w:rFonts w:ascii="Times New Roman" w:hAnsi="Times New Roman"/>
          <w:sz w:val="26"/>
          <w:szCs w:val="26"/>
        </w:rPr>
      </w:pPr>
      <w:r w:rsidRPr="0077427C">
        <w:rPr>
          <w:rFonts w:ascii="Times New Roman" w:hAnsi="Times New Roman"/>
          <w:sz w:val="26"/>
          <w:szCs w:val="26"/>
        </w:rPr>
        <w:t>Quanto all’impatto dei bonus esistenti, nel documento depositato</w:t>
      </w:r>
      <w:r w:rsidR="00EB63AC" w:rsidRPr="0077427C">
        <w:rPr>
          <w:rFonts w:ascii="Times New Roman" w:hAnsi="Times New Roman"/>
          <w:sz w:val="26"/>
          <w:szCs w:val="26"/>
        </w:rPr>
        <w:t xml:space="preserve"> nell’audizione del 27 aprile 2023,</w:t>
      </w:r>
      <w:r w:rsidRPr="0077427C">
        <w:rPr>
          <w:rFonts w:ascii="Times New Roman" w:hAnsi="Times New Roman"/>
          <w:sz w:val="26"/>
          <w:szCs w:val="26"/>
        </w:rPr>
        <w:t xml:space="preserve"> viene ricordato che, secondo i dati ENEA, se si tiene conto sia dei c.d. ecobonus “ordinari” che del superbonus 110%, il risparmio garantito dai bonus edilizi degli ultimi anni sfiora i 2 miliardi di metri cubi di gas, pari a più di 2/3 del risparmio di gas previsto dalle misure di riduzione dei consumi per il settore domestico varate ad agosto 2022 per far fronte all’emergenza, e che i minori consumi permettono una riduzione nelle emissioni di CO2 stimabile in 1,4 miliardi di tonnellate.</w:t>
      </w:r>
    </w:p>
    <w:p w14:paraId="512BEE04" w14:textId="77777777" w:rsidR="009C2AB2" w:rsidRPr="0077427C" w:rsidRDefault="009C2AB2" w:rsidP="009C2AB2">
      <w:pPr>
        <w:rPr>
          <w:rFonts w:ascii="Times New Roman" w:hAnsi="Times New Roman"/>
          <w:sz w:val="26"/>
          <w:szCs w:val="26"/>
        </w:rPr>
      </w:pPr>
    </w:p>
    <w:p w14:paraId="1D56DDD5" w14:textId="77777777" w:rsidR="009C2AB2" w:rsidRPr="0077427C" w:rsidRDefault="009C2AB2" w:rsidP="009C2AB2">
      <w:pPr>
        <w:rPr>
          <w:rFonts w:ascii="Times New Roman" w:hAnsi="Times New Roman"/>
          <w:b/>
          <w:sz w:val="26"/>
          <w:szCs w:val="26"/>
        </w:rPr>
      </w:pPr>
      <w:r w:rsidRPr="0077427C">
        <w:rPr>
          <w:rFonts w:ascii="Times New Roman" w:hAnsi="Times New Roman"/>
          <w:b/>
          <w:sz w:val="26"/>
          <w:szCs w:val="26"/>
        </w:rPr>
        <w:t>Istituto nazionale urbanistica (INU)</w:t>
      </w:r>
      <w:r w:rsidR="00371480" w:rsidRPr="0077427C">
        <w:rPr>
          <w:rFonts w:ascii="Times New Roman" w:hAnsi="Times New Roman"/>
          <w:b/>
          <w:sz w:val="26"/>
          <w:szCs w:val="26"/>
        </w:rPr>
        <w:t xml:space="preserve"> </w:t>
      </w:r>
    </w:p>
    <w:p w14:paraId="2888E7B5" w14:textId="085DE647" w:rsidR="00C51498" w:rsidRPr="0077427C" w:rsidRDefault="009C2AB2" w:rsidP="009C2AB2">
      <w:pPr>
        <w:rPr>
          <w:rFonts w:ascii="Times New Roman" w:hAnsi="Times New Roman"/>
          <w:sz w:val="26"/>
          <w:szCs w:val="26"/>
        </w:rPr>
      </w:pPr>
      <w:r w:rsidRPr="0077427C">
        <w:rPr>
          <w:rFonts w:ascii="Times New Roman" w:hAnsi="Times New Roman"/>
          <w:sz w:val="26"/>
          <w:szCs w:val="26"/>
        </w:rPr>
        <w:t>L’Istituto nazionale urbanistica (INU) auspica che gli incentivi economici continuino</w:t>
      </w:r>
      <w:r w:rsidR="00EA656E" w:rsidRPr="0077427C">
        <w:rPr>
          <w:rFonts w:ascii="Times New Roman" w:hAnsi="Times New Roman"/>
          <w:sz w:val="26"/>
          <w:szCs w:val="26"/>
        </w:rPr>
        <w:t xml:space="preserve"> </w:t>
      </w:r>
      <w:r w:rsidR="00EA656E" w:rsidRPr="0077427C">
        <w:rPr>
          <w:rFonts w:ascii="Times New Roman" w:hAnsi="Times New Roman"/>
          <w:b/>
          <w:sz w:val="26"/>
          <w:szCs w:val="26"/>
        </w:rPr>
        <w:t>ad essere previsti</w:t>
      </w:r>
      <w:r w:rsidRPr="0077427C">
        <w:rPr>
          <w:rFonts w:ascii="Times New Roman" w:hAnsi="Times New Roman"/>
          <w:b/>
          <w:sz w:val="26"/>
          <w:szCs w:val="26"/>
        </w:rPr>
        <w:t>,</w:t>
      </w:r>
      <w:r w:rsidRPr="0077427C">
        <w:rPr>
          <w:rFonts w:ascii="Times New Roman" w:hAnsi="Times New Roman"/>
          <w:sz w:val="26"/>
          <w:szCs w:val="26"/>
        </w:rPr>
        <w:t xml:space="preserve"> ma con un effettivo bilanciamento tra costi di investimento erogati dallo Stato e produzione di beni e servizi «sollecitati» dagli incentivi. In virtù di ciò l’INU esorta l’implementazione di politiche nazionali, regionali e locali per i </w:t>
      </w:r>
      <w:r w:rsidRPr="0077427C">
        <w:rPr>
          <w:rFonts w:ascii="Times New Roman" w:hAnsi="Times New Roman"/>
          <w:i/>
          <w:sz w:val="26"/>
          <w:szCs w:val="26"/>
        </w:rPr>
        <w:t>green buildings</w:t>
      </w:r>
      <w:r w:rsidRPr="0077427C">
        <w:rPr>
          <w:rFonts w:ascii="Times New Roman" w:hAnsi="Times New Roman"/>
          <w:sz w:val="26"/>
          <w:szCs w:val="26"/>
        </w:rPr>
        <w:t>, che promuovano l’utilizzo di materiali naturali (</w:t>
      </w:r>
      <w:r w:rsidRPr="0077427C">
        <w:rPr>
          <w:rFonts w:ascii="Times New Roman" w:hAnsi="Times New Roman"/>
          <w:i/>
          <w:sz w:val="26"/>
          <w:szCs w:val="26"/>
        </w:rPr>
        <w:t>nature-</w:t>
      </w:r>
      <w:proofErr w:type="spellStart"/>
      <w:r w:rsidRPr="0077427C">
        <w:rPr>
          <w:rFonts w:ascii="Times New Roman" w:hAnsi="Times New Roman"/>
          <w:i/>
          <w:sz w:val="26"/>
          <w:szCs w:val="26"/>
        </w:rPr>
        <w:t>based</w:t>
      </w:r>
      <w:proofErr w:type="spellEnd"/>
      <w:r w:rsidRPr="0077427C">
        <w:rPr>
          <w:rFonts w:ascii="Times New Roman" w:hAnsi="Times New Roman"/>
          <w:sz w:val="26"/>
          <w:szCs w:val="26"/>
        </w:rPr>
        <w:t xml:space="preserve">) e non derivati dal petrolio, e prevedano misure di incentivazione stabili e non a tempo, per non ripetere le ingiustificate speculazioni causate proprio dal </w:t>
      </w:r>
      <w:r w:rsidRPr="0077427C">
        <w:rPr>
          <w:rFonts w:ascii="Times New Roman" w:hAnsi="Times New Roman"/>
          <w:i/>
          <w:sz w:val="26"/>
          <w:szCs w:val="26"/>
        </w:rPr>
        <w:t>superbonus</w:t>
      </w:r>
      <w:r w:rsidRPr="0077427C">
        <w:rPr>
          <w:rFonts w:ascii="Times New Roman" w:hAnsi="Times New Roman"/>
          <w:sz w:val="26"/>
          <w:szCs w:val="26"/>
        </w:rPr>
        <w:t xml:space="preserve"> 110 per cento che hanno portato addirittura al 500 per cento di aumento dei costi e ad una conseguente inflazione</w:t>
      </w:r>
      <w:r w:rsidR="00C51498" w:rsidRPr="0077427C">
        <w:rPr>
          <w:rFonts w:ascii="Times New Roman" w:hAnsi="Times New Roman"/>
          <w:sz w:val="26"/>
          <w:szCs w:val="26"/>
        </w:rPr>
        <w:t xml:space="preserve">. </w:t>
      </w:r>
      <w:proofErr w:type="gramStart"/>
      <w:r w:rsidR="00C51498" w:rsidRPr="0077427C">
        <w:rPr>
          <w:rFonts w:ascii="Times New Roman" w:hAnsi="Times New Roman"/>
          <w:sz w:val="26"/>
          <w:szCs w:val="26"/>
        </w:rPr>
        <w:t>E’</w:t>
      </w:r>
      <w:proofErr w:type="gramEnd"/>
      <w:r w:rsidR="00C51498" w:rsidRPr="0077427C">
        <w:rPr>
          <w:rFonts w:ascii="Times New Roman" w:hAnsi="Times New Roman"/>
          <w:sz w:val="26"/>
          <w:szCs w:val="26"/>
        </w:rPr>
        <w:t xml:space="preserve"> necessario inoltre prevedere la partecipazione dei proprietari e la competizione tra imprese.   </w:t>
      </w:r>
    </w:p>
    <w:p w14:paraId="272DCE7E" w14:textId="77777777" w:rsidR="009C2AB2" w:rsidRPr="0077427C" w:rsidRDefault="009C2AB2" w:rsidP="009C2AB2">
      <w:pPr>
        <w:rPr>
          <w:rFonts w:ascii="Times New Roman" w:hAnsi="Times New Roman"/>
          <w:sz w:val="26"/>
          <w:szCs w:val="26"/>
        </w:rPr>
      </w:pPr>
      <w:r w:rsidRPr="0077427C">
        <w:rPr>
          <w:rFonts w:ascii="Times New Roman" w:hAnsi="Times New Roman"/>
          <w:sz w:val="26"/>
          <w:szCs w:val="26"/>
        </w:rPr>
        <w:t xml:space="preserve">Secondo l’INU, tra l'efficacia degli incentivi fiscali in materia edilizia e il raggiungimento degli obiettivi climatici, di risparmio energetico, di promozione dell'autonomia energetica da fonti rinnovabili e di messa in sicurezza sismica del patrimonio edilizio esiste una forbice molto larga e non proporzionata rispetto agli effetti desiderati. </w:t>
      </w:r>
    </w:p>
    <w:p w14:paraId="2357730B" w14:textId="77777777" w:rsidR="009C2AB2" w:rsidRPr="0077427C" w:rsidRDefault="009C2AB2" w:rsidP="009C2AB2">
      <w:pPr>
        <w:rPr>
          <w:rFonts w:ascii="Times New Roman" w:hAnsi="Times New Roman"/>
          <w:sz w:val="26"/>
          <w:szCs w:val="26"/>
        </w:rPr>
      </w:pPr>
      <w:r w:rsidRPr="0077427C">
        <w:rPr>
          <w:rFonts w:ascii="Times New Roman" w:hAnsi="Times New Roman"/>
          <w:sz w:val="26"/>
          <w:szCs w:val="26"/>
        </w:rPr>
        <w:t xml:space="preserve">Nel documento depositato dall’INU </w:t>
      </w:r>
      <w:r w:rsidR="00C51498" w:rsidRPr="0077427C">
        <w:rPr>
          <w:rFonts w:ascii="Times New Roman" w:hAnsi="Times New Roman"/>
          <w:sz w:val="26"/>
          <w:szCs w:val="26"/>
        </w:rPr>
        <w:t xml:space="preserve">nell’audizione del 27 aprile 2023, </w:t>
      </w:r>
      <w:r w:rsidRPr="0077427C">
        <w:rPr>
          <w:rFonts w:ascii="Times New Roman" w:hAnsi="Times New Roman"/>
          <w:sz w:val="26"/>
          <w:szCs w:val="26"/>
        </w:rPr>
        <w:t xml:space="preserve">viene inoltre sottolineata la necessità di favorire l’incentivo dal singolo alla </w:t>
      </w:r>
      <w:r w:rsidR="00583C1B" w:rsidRPr="0077427C">
        <w:rPr>
          <w:rFonts w:ascii="Times New Roman" w:hAnsi="Times New Roman"/>
          <w:sz w:val="26"/>
          <w:szCs w:val="26"/>
        </w:rPr>
        <w:t>c</w:t>
      </w:r>
      <w:r w:rsidRPr="0077427C">
        <w:rPr>
          <w:rFonts w:ascii="Times New Roman" w:hAnsi="Times New Roman"/>
          <w:sz w:val="26"/>
          <w:szCs w:val="26"/>
        </w:rPr>
        <w:t xml:space="preserve">omunità energetica e che la promozione e la realizzazione di impianti di fonti rinnovabili inseriti in </w:t>
      </w:r>
      <w:r w:rsidR="00583C1B" w:rsidRPr="0077427C">
        <w:rPr>
          <w:rFonts w:ascii="Times New Roman" w:hAnsi="Times New Roman"/>
          <w:sz w:val="26"/>
          <w:szCs w:val="26"/>
        </w:rPr>
        <w:t>c</w:t>
      </w:r>
      <w:r w:rsidRPr="0077427C">
        <w:rPr>
          <w:rFonts w:ascii="Times New Roman" w:hAnsi="Times New Roman"/>
          <w:sz w:val="26"/>
          <w:szCs w:val="26"/>
        </w:rPr>
        <w:t xml:space="preserve">omunità energetiche rappresenta una sfida che bisogna saper cogliere, anche attraverso la creazione di agenzie che affianchino i Comuni nello svolgimento di tali attività. </w:t>
      </w:r>
      <w:proofErr w:type="gramStart"/>
      <w:r w:rsidRPr="0077427C">
        <w:rPr>
          <w:rFonts w:ascii="Times New Roman" w:hAnsi="Times New Roman"/>
          <w:sz w:val="26"/>
          <w:szCs w:val="26"/>
        </w:rPr>
        <w:t>Inoltre</w:t>
      </w:r>
      <w:proofErr w:type="gramEnd"/>
      <w:r w:rsidRPr="0077427C">
        <w:rPr>
          <w:rFonts w:ascii="Times New Roman" w:hAnsi="Times New Roman"/>
          <w:sz w:val="26"/>
          <w:szCs w:val="26"/>
        </w:rPr>
        <w:t xml:space="preserve"> viene ritenuto difficilmente raggiungibile l’obiettivo di neutralità climatica in Italia, ove moltissimi edifici sono in zone vincolate e con sistemi costruttivi su cui si può operare solo con una certa difficoltà, nonché a causa del diffuso abusivismo edilizio, che rende difficile intervenire, per mancanza dei presupposti legali.</w:t>
      </w:r>
    </w:p>
    <w:p w14:paraId="6CE53A78" w14:textId="77777777" w:rsidR="009C2AB2" w:rsidRPr="0077427C" w:rsidRDefault="009C2AB2" w:rsidP="009C2AB2">
      <w:pPr>
        <w:rPr>
          <w:rFonts w:ascii="Times New Roman" w:hAnsi="Times New Roman"/>
          <w:sz w:val="26"/>
          <w:szCs w:val="26"/>
        </w:rPr>
      </w:pPr>
    </w:p>
    <w:p w14:paraId="310106C1" w14:textId="77777777" w:rsidR="009C2AB2" w:rsidRPr="0077427C" w:rsidRDefault="009C2AB2" w:rsidP="009C2AB2">
      <w:pPr>
        <w:rPr>
          <w:rFonts w:ascii="Times New Roman" w:hAnsi="Times New Roman"/>
          <w:i/>
          <w:sz w:val="26"/>
          <w:szCs w:val="26"/>
          <w:lang w:val="en-US"/>
        </w:rPr>
      </w:pPr>
      <w:r w:rsidRPr="0077427C">
        <w:rPr>
          <w:rFonts w:ascii="Times New Roman" w:hAnsi="Times New Roman"/>
          <w:b/>
          <w:sz w:val="26"/>
          <w:szCs w:val="26"/>
          <w:lang w:val="en-US"/>
        </w:rPr>
        <w:t>Iren Smart solutions S.p.A.</w:t>
      </w:r>
      <w:r w:rsidR="00371480" w:rsidRPr="0077427C">
        <w:rPr>
          <w:rFonts w:ascii="Times New Roman" w:hAnsi="Times New Roman"/>
          <w:i/>
          <w:sz w:val="26"/>
          <w:szCs w:val="26"/>
          <w:lang w:val="en-US"/>
        </w:rPr>
        <w:t xml:space="preserve"> </w:t>
      </w:r>
    </w:p>
    <w:p w14:paraId="0F6CE904" w14:textId="77777777" w:rsidR="009C2AB2" w:rsidRPr="0077427C" w:rsidRDefault="009C2AB2" w:rsidP="009C2AB2">
      <w:pPr>
        <w:rPr>
          <w:rFonts w:ascii="Times New Roman" w:hAnsi="Times New Roman"/>
          <w:sz w:val="26"/>
          <w:szCs w:val="26"/>
        </w:rPr>
      </w:pPr>
      <w:r w:rsidRPr="0077427C">
        <w:rPr>
          <w:rFonts w:ascii="Times New Roman" w:hAnsi="Times New Roman"/>
          <w:sz w:val="26"/>
          <w:szCs w:val="26"/>
        </w:rPr>
        <w:t xml:space="preserve">Iren Smart </w:t>
      </w:r>
      <w:proofErr w:type="spellStart"/>
      <w:r w:rsidRPr="0077427C">
        <w:rPr>
          <w:rFonts w:ascii="Times New Roman" w:hAnsi="Times New Roman"/>
          <w:sz w:val="26"/>
          <w:szCs w:val="26"/>
        </w:rPr>
        <w:t>solutions</w:t>
      </w:r>
      <w:proofErr w:type="spellEnd"/>
      <w:r w:rsidRPr="0077427C">
        <w:rPr>
          <w:rFonts w:ascii="Times New Roman" w:hAnsi="Times New Roman"/>
          <w:sz w:val="26"/>
          <w:szCs w:val="26"/>
        </w:rPr>
        <w:t xml:space="preserve"> S.p.A. ha sottolineato che, negli interventi di efficientamento da essa realizzati</w:t>
      </w:r>
      <w:r w:rsidR="00583C1B" w:rsidRPr="0077427C">
        <w:rPr>
          <w:rFonts w:ascii="Times New Roman" w:hAnsi="Times New Roman"/>
          <w:sz w:val="26"/>
          <w:szCs w:val="26"/>
        </w:rPr>
        <w:t>,</w:t>
      </w:r>
      <w:r w:rsidRPr="0077427C">
        <w:rPr>
          <w:rFonts w:ascii="Times New Roman" w:hAnsi="Times New Roman"/>
          <w:sz w:val="26"/>
          <w:szCs w:val="26"/>
        </w:rPr>
        <w:t xml:space="preserve"> è stato ottenuto un salto di circa 3,27 classi energetiche rispetto alle due previste dalla norma. </w:t>
      </w:r>
      <w:r w:rsidR="00764E31" w:rsidRPr="0077427C">
        <w:rPr>
          <w:rFonts w:ascii="Times New Roman" w:hAnsi="Times New Roman"/>
          <w:sz w:val="26"/>
          <w:szCs w:val="26"/>
        </w:rPr>
        <w:t>Nell’audizione del 27 aprile 2023,</w:t>
      </w:r>
      <w:r w:rsidRPr="0077427C">
        <w:rPr>
          <w:rFonts w:ascii="Times New Roman" w:hAnsi="Times New Roman"/>
          <w:sz w:val="26"/>
          <w:szCs w:val="26"/>
        </w:rPr>
        <w:t xml:space="preserve"> </w:t>
      </w:r>
      <w:r w:rsidR="007D1930" w:rsidRPr="0077427C">
        <w:rPr>
          <w:rFonts w:ascii="Times New Roman" w:hAnsi="Times New Roman"/>
          <w:sz w:val="26"/>
          <w:szCs w:val="26"/>
        </w:rPr>
        <w:t xml:space="preserve">i rappresentanti della società hanno </w:t>
      </w:r>
      <w:r w:rsidRPr="0077427C">
        <w:rPr>
          <w:rFonts w:ascii="Times New Roman" w:hAnsi="Times New Roman"/>
          <w:sz w:val="26"/>
          <w:szCs w:val="26"/>
        </w:rPr>
        <w:t xml:space="preserve">inoltre auspicato, per il futuro: un quadro normativo stabile, che è fondamentale per agevolare investimenti di lungo periodo; il collegamento del sistema di incentivi con sistemi di generazione distribuita di energia rinnovabile; l'installazione di elementi di generazione </w:t>
      </w:r>
      <w:r w:rsidRPr="0077427C">
        <w:rPr>
          <w:rFonts w:ascii="Times New Roman" w:hAnsi="Times New Roman"/>
          <w:i/>
          <w:sz w:val="26"/>
          <w:szCs w:val="26"/>
        </w:rPr>
        <w:t>green</w:t>
      </w:r>
      <w:r w:rsidRPr="0077427C">
        <w:rPr>
          <w:rFonts w:ascii="Times New Roman" w:hAnsi="Times New Roman"/>
          <w:sz w:val="26"/>
          <w:szCs w:val="26"/>
        </w:rPr>
        <w:t>, in particolare nel mondo delle comunità energetiche; la connessione degli incentivi ai progetti di riqualificazione urbana, in modo che gli interventi abbiano un alto valore non solo economico-ambientale, ma anche sociale.</w:t>
      </w:r>
    </w:p>
    <w:p w14:paraId="6033FC31" w14:textId="77777777" w:rsidR="009C2AB2" w:rsidRPr="0077427C" w:rsidRDefault="009C2AB2" w:rsidP="009C2AB2">
      <w:pPr>
        <w:ind w:firstLine="0"/>
        <w:rPr>
          <w:rFonts w:ascii="Times New Roman" w:hAnsi="Times New Roman"/>
          <w:sz w:val="26"/>
          <w:szCs w:val="26"/>
        </w:rPr>
      </w:pPr>
    </w:p>
    <w:p w14:paraId="627AE1C3" w14:textId="77777777" w:rsidR="009C2AB2" w:rsidRPr="0077427C" w:rsidRDefault="003808D2" w:rsidP="009C2AB2">
      <w:pPr>
        <w:rPr>
          <w:rFonts w:ascii="Times New Roman" w:hAnsi="Times New Roman"/>
          <w:b/>
          <w:sz w:val="26"/>
          <w:szCs w:val="26"/>
        </w:rPr>
      </w:pPr>
      <w:r w:rsidRPr="0077427C">
        <w:rPr>
          <w:rFonts w:ascii="Times New Roman" w:hAnsi="Times New Roman"/>
          <w:b/>
          <w:sz w:val="26"/>
          <w:szCs w:val="26"/>
        </w:rPr>
        <w:t xml:space="preserve">Stefano Corgnati, </w:t>
      </w:r>
      <w:proofErr w:type="gramStart"/>
      <w:r w:rsidR="009C2AB2" w:rsidRPr="0077427C">
        <w:rPr>
          <w:rFonts w:ascii="Times New Roman" w:hAnsi="Times New Roman"/>
          <w:b/>
          <w:sz w:val="26"/>
          <w:szCs w:val="26"/>
        </w:rPr>
        <w:t>Vice Rettore</w:t>
      </w:r>
      <w:proofErr w:type="gramEnd"/>
      <w:r w:rsidR="009C2AB2" w:rsidRPr="0077427C">
        <w:rPr>
          <w:rFonts w:ascii="Times New Roman" w:hAnsi="Times New Roman"/>
          <w:b/>
          <w:sz w:val="26"/>
          <w:szCs w:val="26"/>
        </w:rPr>
        <w:t xml:space="preserve"> per le politiche interne del Politecnico di Torino</w:t>
      </w:r>
      <w:r w:rsidR="00371480" w:rsidRPr="0077427C">
        <w:rPr>
          <w:rFonts w:ascii="Times New Roman" w:hAnsi="Times New Roman"/>
          <w:b/>
          <w:sz w:val="26"/>
          <w:szCs w:val="26"/>
        </w:rPr>
        <w:t xml:space="preserve"> </w:t>
      </w:r>
    </w:p>
    <w:p w14:paraId="1F33D108" w14:textId="77777777" w:rsidR="009C2AB2" w:rsidRPr="0077427C" w:rsidRDefault="009C2AB2" w:rsidP="007D1930">
      <w:pPr>
        <w:rPr>
          <w:rFonts w:ascii="Times New Roman" w:hAnsi="Times New Roman"/>
          <w:i/>
          <w:sz w:val="26"/>
          <w:szCs w:val="26"/>
        </w:rPr>
      </w:pPr>
      <w:r w:rsidRPr="0077427C">
        <w:rPr>
          <w:rFonts w:ascii="Times New Roman" w:hAnsi="Times New Roman"/>
          <w:sz w:val="26"/>
          <w:szCs w:val="26"/>
        </w:rPr>
        <w:t>Il</w:t>
      </w:r>
      <w:r w:rsidRPr="0077427C">
        <w:rPr>
          <w:rFonts w:ascii="Times New Roman" w:hAnsi="Times New Roman"/>
          <w:b/>
          <w:sz w:val="26"/>
          <w:szCs w:val="26"/>
        </w:rPr>
        <w:t xml:space="preserve"> </w:t>
      </w:r>
      <w:r w:rsidRPr="0077427C">
        <w:rPr>
          <w:rFonts w:ascii="Times New Roman" w:hAnsi="Times New Roman"/>
          <w:sz w:val="26"/>
          <w:szCs w:val="26"/>
        </w:rPr>
        <w:t>professor Corgnati,</w:t>
      </w:r>
      <w:r w:rsidRPr="0077427C">
        <w:rPr>
          <w:rFonts w:ascii="Times New Roman" w:hAnsi="Times New Roman"/>
          <w:b/>
          <w:sz w:val="26"/>
          <w:szCs w:val="26"/>
        </w:rPr>
        <w:t xml:space="preserve"> </w:t>
      </w:r>
      <w:r w:rsidR="007D1930" w:rsidRPr="0077427C">
        <w:rPr>
          <w:rFonts w:ascii="Times New Roman" w:hAnsi="Times New Roman"/>
          <w:sz w:val="26"/>
          <w:szCs w:val="26"/>
        </w:rPr>
        <w:t>nell’audizione del 2 maggio 2023</w:t>
      </w:r>
      <w:r w:rsidRPr="0077427C">
        <w:rPr>
          <w:rFonts w:ascii="Times New Roman" w:hAnsi="Times New Roman"/>
          <w:sz w:val="26"/>
          <w:szCs w:val="26"/>
        </w:rPr>
        <w:t xml:space="preserve">, ha posto l’attenzione principalmente sullo spostamento verso gli </w:t>
      </w:r>
      <w:proofErr w:type="spellStart"/>
      <w:r w:rsidRPr="0077427C">
        <w:rPr>
          <w:rFonts w:ascii="Times New Roman" w:hAnsi="Times New Roman"/>
          <w:i/>
          <w:sz w:val="26"/>
          <w:szCs w:val="26"/>
        </w:rPr>
        <w:t>all-electric</w:t>
      </w:r>
      <w:proofErr w:type="spellEnd"/>
      <w:r w:rsidRPr="0077427C">
        <w:rPr>
          <w:rFonts w:ascii="Times New Roman" w:hAnsi="Times New Roman"/>
          <w:i/>
          <w:sz w:val="26"/>
          <w:szCs w:val="26"/>
        </w:rPr>
        <w:t xml:space="preserve"> buildings</w:t>
      </w:r>
      <w:r w:rsidRPr="0077427C">
        <w:rPr>
          <w:rFonts w:ascii="Times New Roman" w:hAnsi="Times New Roman"/>
          <w:sz w:val="26"/>
          <w:szCs w:val="26"/>
        </w:rPr>
        <w:t>, sulle comunità energetiche e sulla riduzione della domanda energetica, tenendo conto delle specificità di ogni Paese soprattutto con riguardo ai tempi di attuazione delle misure dettate in sede europea.</w:t>
      </w:r>
    </w:p>
    <w:p w14:paraId="21E6D58F" w14:textId="77777777" w:rsidR="009C2AB2" w:rsidRPr="0077427C" w:rsidRDefault="009C2AB2" w:rsidP="009C2AB2">
      <w:pPr>
        <w:rPr>
          <w:rFonts w:ascii="Times New Roman" w:hAnsi="Times New Roman"/>
          <w:sz w:val="26"/>
          <w:szCs w:val="26"/>
        </w:rPr>
      </w:pPr>
      <w:r w:rsidRPr="0077427C">
        <w:rPr>
          <w:rFonts w:ascii="Times New Roman" w:hAnsi="Times New Roman"/>
          <w:sz w:val="26"/>
          <w:szCs w:val="26"/>
        </w:rPr>
        <w:t xml:space="preserve">Quanto al primo punto, ha richiamato la </w:t>
      </w:r>
      <w:r w:rsidR="007D1930" w:rsidRPr="0077427C">
        <w:rPr>
          <w:rFonts w:ascii="Times New Roman" w:hAnsi="Times New Roman"/>
          <w:sz w:val="26"/>
          <w:szCs w:val="26"/>
        </w:rPr>
        <w:t xml:space="preserve">nuova </w:t>
      </w:r>
      <w:r w:rsidRPr="0077427C">
        <w:rPr>
          <w:rFonts w:ascii="Times New Roman" w:hAnsi="Times New Roman"/>
          <w:sz w:val="26"/>
          <w:szCs w:val="26"/>
        </w:rPr>
        <w:t>direttiva europea EPBD (</w:t>
      </w:r>
      <w:r w:rsidRPr="0077427C">
        <w:rPr>
          <w:rFonts w:ascii="Times New Roman" w:hAnsi="Times New Roman"/>
          <w:i/>
          <w:sz w:val="26"/>
          <w:szCs w:val="26"/>
        </w:rPr>
        <w:t xml:space="preserve">Energy performance of buildings </w:t>
      </w:r>
      <w:proofErr w:type="spellStart"/>
      <w:r w:rsidRPr="0077427C">
        <w:rPr>
          <w:rFonts w:ascii="Times New Roman" w:hAnsi="Times New Roman"/>
          <w:i/>
          <w:sz w:val="26"/>
          <w:szCs w:val="26"/>
        </w:rPr>
        <w:t>directive</w:t>
      </w:r>
      <w:proofErr w:type="spellEnd"/>
      <w:r w:rsidRPr="0077427C">
        <w:rPr>
          <w:rFonts w:ascii="Times New Roman" w:hAnsi="Times New Roman"/>
          <w:sz w:val="26"/>
          <w:szCs w:val="26"/>
        </w:rPr>
        <w:t xml:space="preserve">) emanata a marzo del 2023, che pone due questioni nuove, </w:t>
      </w:r>
      <w:r w:rsidR="007D1930" w:rsidRPr="0077427C">
        <w:rPr>
          <w:rFonts w:ascii="Times New Roman" w:hAnsi="Times New Roman"/>
          <w:sz w:val="26"/>
          <w:szCs w:val="26"/>
        </w:rPr>
        <w:t>ossia</w:t>
      </w:r>
      <w:r w:rsidRPr="0077427C">
        <w:rPr>
          <w:rFonts w:ascii="Times New Roman" w:hAnsi="Times New Roman"/>
          <w:sz w:val="26"/>
          <w:szCs w:val="26"/>
        </w:rPr>
        <w:t xml:space="preserve"> la necessità che le nuove costruzioni siano </w:t>
      </w:r>
      <w:r w:rsidRPr="0077427C">
        <w:rPr>
          <w:rFonts w:ascii="Times New Roman" w:hAnsi="Times New Roman"/>
          <w:i/>
          <w:sz w:val="26"/>
          <w:szCs w:val="26"/>
        </w:rPr>
        <w:t xml:space="preserve">zero </w:t>
      </w:r>
      <w:proofErr w:type="spellStart"/>
      <w:r w:rsidRPr="0077427C">
        <w:rPr>
          <w:rFonts w:ascii="Times New Roman" w:hAnsi="Times New Roman"/>
          <w:i/>
          <w:sz w:val="26"/>
          <w:szCs w:val="26"/>
        </w:rPr>
        <w:t>emission</w:t>
      </w:r>
      <w:proofErr w:type="spellEnd"/>
      <w:r w:rsidRPr="0077427C">
        <w:rPr>
          <w:rFonts w:ascii="Times New Roman" w:hAnsi="Times New Roman"/>
          <w:i/>
          <w:sz w:val="26"/>
          <w:szCs w:val="26"/>
        </w:rPr>
        <w:t xml:space="preserve"> building</w:t>
      </w:r>
      <w:r w:rsidRPr="0077427C">
        <w:rPr>
          <w:rFonts w:ascii="Times New Roman" w:hAnsi="Times New Roman"/>
          <w:sz w:val="26"/>
          <w:szCs w:val="26"/>
        </w:rPr>
        <w:t xml:space="preserve"> e che, per gli edifici esistenti, si raggiunga al 2033 la classe energetica minima D.</w:t>
      </w:r>
    </w:p>
    <w:p w14:paraId="2F9B8486" w14:textId="659C29DF" w:rsidR="009C2AB2" w:rsidRPr="0077427C" w:rsidRDefault="009C2AB2" w:rsidP="009C2AB2">
      <w:pPr>
        <w:rPr>
          <w:rFonts w:ascii="Times New Roman" w:hAnsi="Times New Roman"/>
          <w:sz w:val="26"/>
          <w:szCs w:val="26"/>
        </w:rPr>
      </w:pPr>
      <w:r w:rsidRPr="0077427C">
        <w:rPr>
          <w:rFonts w:ascii="Times New Roman" w:hAnsi="Times New Roman"/>
          <w:sz w:val="26"/>
          <w:szCs w:val="26"/>
        </w:rPr>
        <w:t xml:space="preserve">Quanto al secondo tema, il professor Corgnati ha sottolineato </w:t>
      </w:r>
      <w:r w:rsidR="007D1930" w:rsidRPr="0077427C">
        <w:rPr>
          <w:rFonts w:ascii="Times New Roman" w:hAnsi="Times New Roman"/>
          <w:sz w:val="26"/>
          <w:szCs w:val="26"/>
        </w:rPr>
        <w:t xml:space="preserve">come di primario interesse </w:t>
      </w:r>
      <w:r w:rsidRPr="0077427C">
        <w:rPr>
          <w:rFonts w:ascii="Times New Roman" w:hAnsi="Times New Roman"/>
          <w:sz w:val="26"/>
          <w:szCs w:val="26"/>
        </w:rPr>
        <w:t>lo spostamento dell’autoproduzione da edifici individuali a edifici che ragionano su scala di distretto urbano attraverso le comunità energetiche.</w:t>
      </w:r>
    </w:p>
    <w:p w14:paraId="7C37DDA5" w14:textId="77777777" w:rsidR="009C2AB2" w:rsidRPr="0077427C" w:rsidRDefault="009C2AB2" w:rsidP="009C2AB2">
      <w:pPr>
        <w:rPr>
          <w:rFonts w:ascii="Times New Roman" w:hAnsi="Times New Roman"/>
          <w:sz w:val="26"/>
          <w:szCs w:val="26"/>
        </w:rPr>
      </w:pPr>
      <w:r w:rsidRPr="0077427C">
        <w:rPr>
          <w:rFonts w:ascii="Times New Roman" w:hAnsi="Times New Roman"/>
          <w:sz w:val="26"/>
          <w:szCs w:val="26"/>
        </w:rPr>
        <w:t xml:space="preserve">In merito alla terza questione, dopo aver evidenziato che il </w:t>
      </w:r>
      <w:r w:rsidRPr="0077427C">
        <w:rPr>
          <w:rFonts w:ascii="Times New Roman" w:hAnsi="Times New Roman"/>
          <w:i/>
          <w:sz w:val="26"/>
          <w:szCs w:val="26"/>
        </w:rPr>
        <w:t>superbonus</w:t>
      </w:r>
      <w:r w:rsidRPr="0077427C">
        <w:rPr>
          <w:rFonts w:ascii="Times New Roman" w:hAnsi="Times New Roman"/>
          <w:sz w:val="26"/>
          <w:szCs w:val="26"/>
        </w:rPr>
        <w:t xml:space="preserve"> ha agevolato tale riduzione con interventi sul miglioramento della prestazione energetica dell’involucro edilizio, ha posto l’attenzione sull’opportunità di introduzione di sistemi di ventilazione meccanica controllata e sui sistemi a pompa di calore, che, dal punto di vista tecnico, hanno efficienze oggi tanto più grandi quanto più è ridotto il salto termico che a loro viene affidato. Ha poi sottolineato che, pur essendo l’effetto delle misure incentivanti fondamentale per la riduzione dei fabbisogni energetici e per la riqualificazione del patrimonio edilizio esistente, la peculiarità della situazione italiana, con un patrimonio di edilizia residenziale superiore a 12 milioni di edifici e assai vetusto, in larga parte antecedente al 1991, impone </w:t>
      </w:r>
      <w:r w:rsidR="007D1930" w:rsidRPr="0077427C">
        <w:rPr>
          <w:rFonts w:ascii="Times New Roman" w:hAnsi="Times New Roman"/>
          <w:sz w:val="26"/>
          <w:szCs w:val="26"/>
        </w:rPr>
        <w:t xml:space="preserve">una particolare attenzione </w:t>
      </w:r>
      <w:r w:rsidR="00A57FCC" w:rsidRPr="0077427C">
        <w:rPr>
          <w:rFonts w:ascii="Times New Roman" w:hAnsi="Times New Roman"/>
          <w:sz w:val="26"/>
          <w:szCs w:val="26"/>
        </w:rPr>
        <w:t xml:space="preserve">nella </w:t>
      </w:r>
      <w:r w:rsidRPr="0077427C">
        <w:rPr>
          <w:rFonts w:ascii="Times New Roman" w:hAnsi="Times New Roman"/>
          <w:sz w:val="26"/>
          <w:szCs w:val="26"/>
        </w:rPr>
        <w:t>tempistica per l’implementazione di tali misure.</w:t>
      </w:r>
    </w:p>
    <w:p w14:paraId="063F0266" w14:textId="77777777" w:rsidR="009C2AB2" w:rsidRPr="0077427C" w:rsidRDefault="009C2AB2" w:rsidP="009C2AB2">
      <w:pPr>
        <w:rPr>
          <w:rFonts w:ascii="Times New Roman" w:hAnsi="Times New Roman"/>
          <w:sz w:val="26"/>
          <w:szCs w:val="26"/>
        </w:rPr>
      </w:pPr>
    </w:p>
    <w:p w14:paraId="3A4BB57B" w14:textId="77777777" w:rsidR="009C2AB2" w:rsidRPr="0077427C" w:rsidRDefault="009C2AB2" w:rsidP="009C2AB2">
      <w:pPr>
        <w:rPr>
          <w:rFonts w:ascii="Times New Roman" w:hAnsi="Times New Roman"/>
          <w:b/>
          <w:sz w:val="26"/>
          <w:szCs w:val="26"/>
        </w:rPr>
      </w:pPr>
      <w:r w:rsidRPr="0077427C">
        <w:rPr>
          <w:rFonts w:ascii="Times New Roman" w:hAnsi="Times New Roman"/>
          <w:b/>
          <w:sz w:val="26"/>
          <w:szCs w:val="26"/>
        </w:rPr>
        <w:t>Autonomie Locali Italiane (ALI)</w:t>
      </w:r>
      <w:r w:rsidR="00371480" w:rsidRPr="0077427C">
        <w:rPr>
          <w:rFonts w:ascii="Times New Roman" w:hAnsi="Times New Roman"/>
          <w:b/>
          <w:sz w:val="26"/>
          <w:szCs w:val="26"/>
        </w:rPr>
        <w:t xml:space="preserve"> </w:t>
      </w:r>
    </w:p>
    <w:p w14:paraId="057E12E4" w14:textId="77777777" w:rsidR="009C2AB2" w:rsidRPr="0077427C" w:rsidRDefault="009C2AB2" w:rsidP="009C2AB2">
      <w:pPr>
        <w:rPr>
          <w:rFonts w:ascii="Times New Roman" w:hAnsi="Times New Roman"/>
          <w:sz w:val="26"/>
          <w:szCs w:val="26"/>
        </w:rPr>
      </w:pPr>
      <w:r w:rsidRPr="0077427C">
        <w:rPr>
          <w:rFonts w:ascii="Times New Roman" w:hAnsi="Times New Roman"/>
          <w:sz w:val="26"/>
          <w:szCs w:val="26"/>
        </w:rPr>
        <w:t xml:space="preserve">I rappresentanti di Autonomie Locali Italiane (ALI) hanno evidenziato la differenza tra edifici pubblici </w:t>
      </w:r>
      <w:proofErr w:type="gramStart"/>
      <w:r w:rsidRPr="0077427C">
        <w:rPr>
          <w:rFonts w:ascii="Times New Roman" w:hAnsi="Times New Roman"/>
          <w:sz w:val="26"/>
          <w:szCs w:val="26"/>
        </w:rPr>
        <w:t>ed</w:t>
      </w:r>
      <w:proofErr w:type="gramEnd"/>
      <w:r w:rsidRPr="0077427C">
        <w:rPr>
          <w:rFonts w:ascii="Times New Roman" w:hAnsi="Times New Roman"/>
          <w:sz w:val="26"/>
          <w:szCs w:val="26"/>
        </w:rPr>
        <w:t xml:space="preserve"> edifici di edilizia residenziale pubblica. Quanto ai primi, è stato evidenziato un accesso molto ridotto agli incentivi da parte degli enti locali. È stata altresì richiamata l’interpretazione restrittiva fornita dall’Agenzia delle Entrate che ha negato l’accesso alla misura del </w:t>
      </w:r>
      <w:r w:rsidRPr="0077427C">
        <w:rPr>
          <w:rFonts w:ascii="Times New Roman" w:hAnsi="Times New Roman"/>
          <w:i/>
          <w:sz w:val="26"/>
          <w:szCs w:val="26"/>
        </w:rPr>
        <w:t>superbonus</w:t>
      </w:r>
      <w:r w:rsidRPr="0077427C">
        <w:rPr>
          <w:rFonts w:ascii="Times New Roman" w:hAnsi="Times New Roman"/>
          <w:sz w:val="26"/>
          <w:szCs w:val="26"/>
        </w:rPr>
        <w:t xml:space="preserve">, e a tutti gli altri incentivi, da parte degli enti che non producono redditi imponibili ai fini IRES. </w:t>
      </w:r>
      <w:r w:rsidR="00583C1B" w:rsidRPr="0077427C">
        <w:rPr>
          <w:rFonts w:ascii="Times New Roman" w:hAnsi="Times New Roman"/>
          <w:sz w:val="26"/>
          <w:szCs w:val="26"/>
        </w:rPr>
        <w:t xml:space="preserve">Tale </w:t>
      </w:r>
      <w:r w:rsidRPr="0077427C">
        <w:rPr>
          <w:rFonts w:ascii="Times New Roman" w:hAnsi="Times New Roman"/>
          <w:sz w:val="26"/>
          <w:szCs w:val="26"/>
        </w:rPr>
        <w:t xml:space="preserve">impostazione restrittiva ha ridotto, in modo determinante, la possibilità degli enti pubblici di utilizzare questo strumento per la riqualificazione del proprio patrimonio immobiliare. </w:t>
      </w:r>
    </w:p>
    <w:p w14:paraId="50A77B2F" w14:textId="77777777" w:rsidR="009C2AB2" w:rsidRPr="0077427C" w:rsidRDefault="009C2AB2" w:rsidP="009C2AB2">
      <w:pPr>
        <w:rPr>
          <w:rFonts w:ascii="Times New Roman" w:hAnsi="Times New Roman"/>
          <w:sz w:val="26"/>
          <w:szCs w:val="26"/>
        </w:rPr>
      </w:pPr>
      <w:r w:rsidRPr="0077427C">
        <w:rPr>
          <w:rFonts w:ascii="Times New Roman" w:hAnsi="Times New Roman"/>
          <w:sz w:val="26"/>
          <w:szCs w:val="26"/>
        </w:rPr>
        <w:t xml:space="preserve">Per l’edilizia residenziale pubblica, invece, gli interventi erano ammessi e i dati Enea hanno rilevato come a marzo 2022 fossero stati avviati più di 122 mila cantieri sull’edilizia residenziale pubblica, con un investimento pari a 21,4 miliardi di euro. Nel corso dell’audizione sono stati riportati anche i dati di Federcasa, secondo cui oltre la metà del patrimonio residenziale gestito, ossia circa 400 mila alloggi, è classificato a elevato consumo energetico, ricadendo nelle classi energetiche E, F e G, con una ricaduta sociale molto netta per le famiglie che impegnano più del 10 per cento del loro reddito in questi consumi. </w:t>
      </w:r>
    </w:p>
    <w:p w14:paraId="442DA96B" w14:textId="77777777" w:rsidR="009C2AB2" w:rsidRPr="0077427C" w:rsidRDefault="009C2AB2" w:rsidP="009C2AB2">
      <w:pPr>
        <w:rPr>
          <w:rFonts w:ascii="Times New Roman" w:hAnsi="Times New Roman"/>
          <w:sz w:val="26"/>
          <w:szCs w:val="26"/>
        </w:rPr>
      </w:pPr>
      <w:r w:rsidRPr="0077427C">
        <w:rPr>
          <w:rFonts w:ascii="Times New Roman" w:hAnsi="Times New Roman"/>
          <w:sz w:val="26"/>
          <w:szCs w:val="26"/>
        </w:rPr>
        <w:t xml:space="preserve">È stata sottolineata con favore – investendo una platea di soggetti più esposti alla povertà energetica – la modifica di cui al decreto-legge n. 59 del 2021, che prevede che per gli interventi effettuati da Istituti autonomi case popolari, per i quali alla data del 30 giugno 2023 siano stati effettuati i lavori per almeno il 60 per cento dell’investimento complessivo, l’incentivo spetta anche per le spese sostenute fino alla data del 31 dicembre 2023, potendosi così portare a termine gli interventi già avviati. </w:t>
      </w:r>
    </w:p>
    <w:p w14:paraId="26C94491" w14:textId="77777777" w:rsidR="009C2AB2" w:rsidRPr="0077427C" w:rsidRDefault="009C2AB2" w:rsidP="009C2AB2">
      <w:pPr>
        <w:rPr>
          <w:rFonts w:ascii="Times New Roman" w:hAnsi="Times New Roman"/>
          <w:sz w:val="26"/>
          <w:szCs w:val="26"/>
        </w:rPr>
      </w:pPr>
      <w:r w:rsidRPr="0077427C">
        <w:rPr>
          <w:rFonts w:ascii="Times New Roman" w:hAnsi="Times New Roman"/>
          <w:sz w:val="26"/>
          <w:szCs w:val="26"/>
        </w:rPr>
        <w:t>Nell’audizione è stata infine richiamata la mancanza di attuazione generalizzata dei PEC (piani energetici comunali), strumento pianificatorio che si affianca al piano regolatore generale e che</w:t>
      </w:r>
      <w:r w:rsidR="003808D2" w:rsidRPr="0077427C">
        <w:rPr>
          <w:rFonts w:ascii="Times New Roman" w:hAnsi="Times New Roman"/>
          <w:sz w:val="26"/>
          <w:szCs w:val="26"/>
        </w:rPr>
        <w:t xml:space="preserve"> appare molto attuale.</w:t>
      </w:r>
      <w:r w:rsidRPr="0077427C">
        <w:rPr>
          <w:rFonts w:ascii="Times New Roman" w:hAnsi="Times New Roman"/>
          <w:sz w:val="26"/>
          <w:szCs w:val="26"/>
        </w:rPr>
        <w:t xml:space="preserve"> </w:t>
      </w:r>
    </w:p>
    <w:p w14:paraId="12582839" w14:textId="77777777" w:rsidR="009C2AB2" w:rsidRPr="0077427C" w:rsidRDefault="009C2AB2" w:rsidP="009C2AB2">
      <w:pPr>
        <w:rPr>
          <w:rFonts w:ascii="Times New Roman" w:hAnsi="Times New Roman"/>
          <w:sz w:val="26"/>
          <w:szCs w:val="26"/>
        </w:rPr>
      </w:pPr>
      <w:r w:rsidRPr="0077427C">
        <w:rPr>
          <w:rFonts w:ascii="Times New Roman" w:hAnsi="Times New Roman"/>
          <w:sz w:val="26"/>
          <w:szCs w:val="26"/>
        </w:rPr>
        <w:t xml:space="preserve">Secondo ALI, il patrimonio immobiliare italiano, seppur molto vetusto, ha visto negli ultimi anni una riqualificazione maggiore rispetto a quella di altri Paesi </w:t>
      </w:r>
      <w:r w:rsidR="003808D2" w:rsidRPr="0077427C">
        <w:rPr>
          <w:rFonts w:ascii="Times New Roman" w:hAnsi="Times New Roman"/>
          <w:sz w:val="26"/>
          <w:szCs w:val="26"/>
        </w:rPr>
        <w:t>a seguito del</w:t>
      </w:r>
      <w:r w:rsidRPr="0077427C">
        <w:rPr>
          <w:rFonts w:ascii="Times New Roman" w:hAnsi="Times New Roman"/>
          <w:sz w:val="26"/>
          <w:szCs w:val="26"/>
        </w:rPr>
        <w:t xml:space="preserve">l’introduzione del </w:t>
      </w:r>
      <w:r w:rsidRPr="0077427C">
        <w:rPr>
          <w:rFonts w:ascii="Times New Roman" w:hAnsi="Times New Roman"/>
          <w:i/>
          <w:sz w:val="26"/>
          <w:szCs w:val="26"/>
        </w:rPr>
        <w:t>superbonus</w:t>
      </w:r>
      <w:r w:rsidRPr="0077427C">
        <w:rPr>
          <w:rFonts w:ascii="Times New Roman" w:hAnsi="Times New Roman"/>
          <w:sz w:val="26"/>
          <w:szCs w:val="26"/>
        </w:rPr>
        <w:t xml:space="preserve"> che ha rappresentato un forte meccanismo fiscale incentivante, le cui limitazioni recenti però rischiano di far perdere il vantaggio acquisito. È </w:t>
      </w:r>
      <w:proofErr w:type="gramStart"/>
      <w:r w:rsidRPr="0077427C">
        <w:rPr>
          <w:rFonts w:ascii="Times New Roman" w:hAnsi="Times New Roman"/>
          <w:sz w:val="26"/>
          <w:szCs w:val="26"/>
        </w:rPr>
        <w:t>necessario comunque</w:t>
      </w:r>
      <w:proofErr w:type="gramEnd"/>
      <w:r w:rsidRPr="0077427C">
        <w:rPr>
          <w:rFonts w:ascii="Times New Roman" w:hAnsi="Times New Roman"/>
          <w:sz w:val="26"/>
          <w:szCs w:val="26"/>
        </w:rPr>
        <w:t xml:space="preserve"> un forte investimento nella direzione dell’efficientamento, avendo il Paese una carenza storica di materie prime e considerando le vicende di carattere internazionale e l’importanza geopolitica di ridurre i fattori di dipendenza esterna.</w:t>
      </w:r>
    </w:p>
    <w:p w14:paraId="5B0BD95D" w14:textId="77777777" w:rsidR="009C2AB2" w:rsidRPr="0077427C" w:rsidRDefault="009C2AB2" w:rsidP="009C2AB2">
      <w:pPr>
        <w:rPr>
          <w:rFonts w:ascii="Times New Roman" w:hAnsi="Times New Roman"/>
          <w:sz w:val="26"/>
          <w:szCs w:val="26"/>
        </w:rPr>
      </w:pPr>
      <w:r w:rsidRPr="0077427C">
        <w:rPr>
          <w:rFonts w:ascii="Times New Roman" w:hAnsi="Times New Roman"/>
          <w:sz w:val="26"/>
          <w:szCs w:val="26"/>
        </w:rPr>
        <w:t xml:space="preserve">In ultimo, ALI ha richiamato il fenomeno della mancata partecipazione da parte delle imprese alle gare di appalto finanziate dal PNRR, prima attribuita alla presenza del superbonus ma che oggi trova meno ragion d’essere considerate le forti limitazioni che la misura ha subìto, nonché   l’importanza della riqualificazione degli edifici, che si traduce in riqualificazione urbana anche in funzione di contrasto al disagio economico delle famiglie e ai fenomeni di emarginazione e degrado, di incremento dei livelli di sicurezza antisismica, oltre che di generazione di benefici di carattere ambientale in termini di riduzione delle emissioni e di riduzione della dipendenza energetica estera. </w:t>
      </w:r>
    </w:p>
    <w:p w14:paraId="709EA9A3" w14:textId="77777777" w:rsidR="009C2AB2" w:rsidRPr="0077427C" w:rsidRDefault="009C2AB2" w:rsidP="009C2AB2">
      <w:pPr>
        <w:rPr>
          <w:rFonts w:ascii="Times New Roman" w:hAnsi="Times New Roman"/>
          <w:sz w:val="26"/>
          <w:szCs w:val="26"/>
        </w:rPr>
      </w:pPr>
    </w:p>
    <w:p w14:paraId="11DEBECA" w14:textId="77777777" w:rsidR="009C2AB2" w:rsidRPr="0077427C" w:rsidRDefault="009C2AB2" w:rsidP="009C2AB2">
      <w:pPr>
        <w:rPr>
          <w:rFonts w:ascii="Times New Roman" w:hAnsi="Times New Roman"/>
          <w:sz w:val="26"/>
          <w:szCs w:val="26"/>
        </w:rPr>
      </w:pPr>
      <w:r w:rsidRPr="0077427C">
        <w:rPr>
          <w:rFonts w:ascii="Times New Roman" w:hAnsi="Times New Roman"/>
          <w:b/>
          <w:sz w:val="26"/>
          <w:szCs w:val="26"/>
        </w:rPr>
        <w:t>Edoardo Zanchini, direttore dell’Ufficio clima del Comune di Roma</w:t>
      </w:r>
      <w:r w:rsidR="00371480" w:rsidRPr="0077427C">
        <w:rPr>
          <w:rFonts w:ascii="Times New Roman" w:hAnsi="Times New Roman"/>
          <w:b/>
          <w:sz w:val="26"/>
          <w:szCs w:val="26"/>
        </w:rPr>
        <w:t xml:space="preserve"> </w:t>
      </w:r>
    </w:p>
    <w:p w14:paraId="294A0681" w14:textId="2C33742B" w:rsidR="009C2AB2" w:rsidRPr="0077427C" w:rsidRDefault="003808D2" w:rsidP="009C2AB2">
      <w:pPr>
        <w:rPr>
          <w:rFonts w:ascii="Times New Roman" w:hAnsi="Times New Roman"/>
          <w:sz w:val="26"/>
          <w:szCs w:val="26"/>
        </w:rPr>
      </w:pPr>
      <w:r w:rsidRPr="0077427C">
        <w:rPr>
          <w:rFonts w:ascii="Times New Roman" w:hAnsi="Times New Roman"/>
          <w:sz w:val="26"/>
          <w:szCs w:val="26"/>
        </w:rPr>
        <w:t>Nel corso dell’audizione del 2 maggio 2023, è stato</w:t>
      </w:r>
      <w:r w:rsidRPr="0077427C">
        <w:rPr>
          <w:rFonts w:ascii="Times New Roman" w:hAnsi="Times New Roman"/>
          <w:b/>
          <w:sz w:val="26"/>
          <w:szCs w:val="26"/>
        </w:rPr>
        <w:t xml:space="preserve"> </w:t>
      </w:r>
      <w:r w:rsidR="009C2AB2" w:rsidRPr="0077427C">
        <w:rPr>
          <w:rFonts w:ascii="Times New Roman" w:hAnsi="Times New Roman"/>
          <w:sz w:val="26"/>
          <w:szCs w:val="26"/>
        </w:rPr>
        <w:t xml:space="preserve">illustrato il caso di Roma – con i suoi oltre 170 mila edifici - come laboratorio per le politiche in materia di riqualificazione energetica degli edifici. Con riguardo al patrimonio più grande, quello di edilizia residenziale </w:t>
      </w:r>
      <w:r w:rsidR="009C2AB2" w:rsidRPr="0077427C">
        <w:rPr>
          <w:rFonts w:ascii="Times New Roman" w:hAnsi="Times New Roman"/>
          <w:b/>
          <w:strike/>
          <w:sz w:val="26"/>
          <w:szCs w:val="26"/>
        </w:rPr>
        <w:t>e</w:t>
      </w:r>
      <w:r w:rsidR="009C2AB2" w:rsidRPr="0077427C">
        <w:rPr>
          <w:rFonts w:ascii="Times New Roman" w:hAnsi="Times New Roman"/>
          <w:sz w:val="26"/>
          <w:szCs w:val="26"/>
        </w:rPr>
        <w:t xml:space="preserve"> privata, Zanchini ha sottolineato l’interesse a costruire uno scenario di programmazione degli interventi, </w:t>
      </w:r>
      <w:r w:rsidR="009C2AB2" w:rsidRPr="0077427C">
        <w:rPr>
          <w:rFonts w:ascii="Times New Roman" w:hAnsi="Times New Roman"/>
          <w:b/>
          <w:sz w:val="26"/>
          <w:szCs w:val="26"/>
        </w:rPr>
        <w:t>fissando un’aliquota più bassa</w:t>
      </w:r>
      <w:r w:rsidR="00FB06F0" w:rsidRPr="0077427C">
        <w:rPr>
          <w:rFonts w:ascii="Times New Roman" w:hAnsi="Times New Roman"/>
          <w:b/>
          <w:sz w:val="26"/>
          <w:szCs w:val="26"/>
        </w:rPr>
        <w:t xml:space="preserve"> per gli interventi “ordinari”, che assolva a obiettivi di emersione del nero in edilizia</w:t>
      </w:r>
      <w:r w:rsidR="009C2AB2" w:rsidRPr="0077427C">
        <w:rPr>
          <w:rFonts w:ascii="Times New Roman" w:hAnsi="Times New Roman"/>
          <w:sz w:val="26"/>
          <w:szCs w:val="26"/>
        </w:rPr>
        <w:t>, e una seconda aliquota</w:t>
      </w:r>
      <w:r w:rsidR="00FB06F0" w:rsidRPr="0077427C">
        <w:rPr>
          <w:rFonts w:ascii="Times New Roman" w:hAnsi="Times New Roman"/>
          <w:sz w:val="26"/>
          <w:szCs w:val="26"/>
        </w:rPr>
        <w:t xml:space="preserve"> </w:t>
      </w:r>
      <w:r w:rsidR="00FB06F0" w:rsidRPr="0077427C">
        <w:rPr>
          <w:rFonts w:ascii="Times New Roman" w:hAnsi="Times New Roman"/>
          <w:b/>
          <w:sz w:val="26"/>
          <w:szCs w:val="26"/>
        </w:rPr>
        <w:t>intermedia</w:t>
      </w:r>
      <w:r w:rsidR="009C2AB2" w:rsidRPr="0077427C">
        <w:rPr>
          <w:rFonts w:ascii="Times New Roman" w:hAnsi="Times New Roman"/>
          <w:sz w:val="26"/>
          <w:szCs w:val="26"/>
        </w:rPr>
        <w:t xml:space="preserve">, pari al 65 per cento, </w:t>
      </w:r>
      <w:r w:rsidR="00FB06F0" w:rsidRPr="0077427C">
        <w:rPr>
          <w:rFonts w:ascii="Times New Roman" w:hAnsi="Times New Roman"/>
          <w:b/>
          <w:sz w:val="26"/>
          <w:szCs w:val="26"/>
        </w:rPr>
        <w:t>accessibile per gli interventi che riescono a garantire una riduzione di almeno due classi energetiche,</w:t>
      </w:r>
      <w:r w:rsidR="009C2AB2" w:rsidRPr="0077427C">
        <w:rPr>
          <w:rFonts w:ascii="Times New Roman" w:hAnsi="Times New Roman"/>
          <w:sz w:val="26"/>
          <w:szCs w:val="26"/>
        </w:rPr>
        <w:t xml:space="preserve"> in modo che si possa distinguere tra gli interventi di ristrutturazione ordinaria senza obiettivi energetici e quelli che si prefiggono obiettivi energetici. Una terza aliquota, pari all’80 per cento, dovrebbe essere fissata per gli immobili nei quali si raggiunge un parametro </w:t>
      </w:r>
      <w:proofErr w:type="spellStart"/>
      <w:r w:rsidR="009C2AB2" w:rsidRPr="0077427C">
        <w:rPr>
          <w:rFonts w:ascii="Times New Roman" w:hAnsi="Times New Roman"/>
          <w:sz w:val="26"/>
          <w:szCs w:val="26"/>
        </w:rPr>
        <w:t>Nzeb</w:t>
      </w:r>
      <w:proofErr w:type="spellEnd"/>
      <w:r w:rsidR="009C2AB2" w:rsidRPr="0077427C">
        <w:rPr>
          <w:rFonts w:ascii="Times New Roman" w:hAnsi="Times New Roman"/>
          <w:sz w:val="26"/>
          <w:szCs w:val="26"/>
        </w:rPr>
        <w:t xml:space="preserve"> (</w:t>
      </w:r>
      <w:proofErr w:type="spellStart"/>
      <w:r w:rsidR="009C2AB2" w:rsidRPr="0077427C">
        <w:rPr>
          <w:rFonts w:ascii="Times New Roman" w:hAnsi="Times New Roman"/>
          <w:i/>
          <w:sz w:val="26"/>
          <w:szCs w:val="26"/>
        </w:rPr>
        <w:t>Nearly</w:t>
      </w:r>
      <w:proofErr w:type="spellEnd"/>
      <w:r w:rsidR="009C2AB2" w:rsidRPr="0077427C">
        <w:rPr>
          <w:rFonts w:ascii="Times New Roman" w:hAnsi="Times New Roman"/>
          <w:i/>
          <w:sz w:val="26"/>
          <w:szCs w:val="26"/>
        </w:rPr>
        <w:t xml:space="preserve"> zero energy building),</w:t>
      </w:r>
      <w:r w:rsidR="009C2AB2" w:rsidRPr="0077427C">
        <w:rPr>
          <w:rFonts w:ascii="Times New Roman" w:hAnsi="Times New Roman"/>
          <w:sz w:val="26"/>
          <w:szCs w:val="26"/>
        </w:rPr>
        <w:t xml:space="preserve"> ossia il nuovo parametro fissato dalla Commissione europea e attualmente in vigore per gli edifici nuovi. Ciò consentirebbe un netto miglioramento rispetto ai consumi e una forte riduzione dei costi energetici. Le aliquote del 65 o dell’80 per cento sono state ipotizzate, per un arco temporale di due anni, anche per la sostituzione di impianti a gas con pompe di calore, poiché gli impianti a gas nelle grandi città sono, insieme ovviamente alla mobilità, il principale fattore di inquinamento locale.</w:t>
      </w:r>
    </w:p>
    <w:p w14:paraId="17E84268" w14:textId="12934F00" w:rsidR="009C2AB2" w:rsidRPr="0077427C" w:rsidRDefault="009C2AB2" w:rsidP="009C2AB2">
      <w:pPr>
        <w:rPr>
          <w:rFonts w:ascii="Times New Roman" w:hAnsi="Times New Roman"/>
          <w:sz w:val="26"/>
          <w:szCs w:val="26"/>
        </w:rPr>
      </w:pPr>
      <w:r w:rsidRPr="0077427C">
        <w:rPr>
          <w:rFonts w:ascii="Times New Roman" w:hAnsi="Times New Roman"/>
          <w:sz w:val="26"/>
          <w:szCs w:val="26"/>
        </w:rPr>
        <w:t xml:space="preserve">Zanchini ha inoltre evidenziato che la cancellazione della cessione del credito impedisce l’accesso agli incentivi a circa </w:t>
      </w:r>
      <w:proofErr w:type="gramStart"/>
      <w:r w:rsidRPr="0077427C">
        <w:rPr>
          <w:rFonts w:ascii="Times New Roman" w:hAnsi="Times New Roman"/>
          <w:sz w:val="26"/>
          <w:szCs w:val="26"/>
        </w:rPr>
        <w:t>7</w:t>
      </w:r>
      <w:proofErr w:type="gramEnd"/>
      <w:r w:rsidRPr="0077427C">
        <w:rPr>
          <w:rFonts w:ascii="Times New Roman" w:hAnsi="Times New Roman"/>
          <w:sz w:val="26"/>
          <w:szCs w:val="26"/>
        </w:rPr>
        <w:t xml:space="preserve"> milioni di persone incapienti</w:t>
      </w:r>
      <w:r w:rsidRPr="0077427C">
        <w:rPr>
          <w:rFonts w:ascii="Times New Roman" w:hAnsi="Times New Roman"/>
          <w:b/>
          <w:sz w:val="26"/>
          <w:szCs w:val="26"/>
        </w:rPr>
        <w:t xml:space="preserve">, </w:t>
      </w:r>
      <w:r w:rsidR="00013034" w:rsidRPr="0077427C">
        <w:rPr>
          <w:rFonts w:ascii="Times New Roman" w:hAnsi="Times New Roman"/>
          <w:b/>
          <w:sz w:val="26"/>
          <w:szCs w:val="26"/>
        </w:rPr>
        <w:t>in quanto al di</w:t>
      </w:r>
      <w:r w:rsidR="00013034" w:rsidRPr="0077427C">
        <w:rPr>
          <w:rFonts w:ascii="Times New Roman" w:hAnsi="Times New Roman"/>
          <w:sz w:val="26"/>
          <w:szCs w:val="26"/>
        </w:rPr>
        <w:t xml:space="preserve"> </w:t>
      </w:r>
      <w:r w:rsidRPr="0077427C">
        <w:rPr>
          <w:rFonts w:ascii="Times New Roman" w:hAnsi="Times New Roman"/>
          <w:sz w:val="26"/>
          <w:szCs w:val="26"/>
        </w:rPr>
        <w:t xml:space="preserve">sotto la </w:t>
      </w:r>
      <w:r w:rsidRPr="0077427C">
        <w:rPr>
          <w:rFonts w:ascii="Times New Roman" w:hAnsi="Times New Roman"/>
          <w:i/>
          <w:sz w:val="26"/>
          <w:szCs w:val="26"/>
        </w:rPr>
        <w:t>no tax area.</w:t>
      </w:r>
      <w:r w:rsidRPr="0077427C">
        <w:rPr>
          <w:rFonts w:ascii="Times New Roman" w:hAnsi="Times New Roman"/>
          <w:sz w:val="26"/>
          <w:szCs w:val="26"/>
        </w:rPr>
        <w:t xml:space="preserve"> A tal fine sarebbe opportuno</w:t>
      </w:r>
      <w:r w:rsidR="003808D2" w:rsidRPr="0077427C">
        <w:rPr>
          <w:rFonts w:ascii="Times New Roman" w:hAnsi="Times New Roman"/>
          <w:sz w:val="26"/>
          <w:szCs w:val="26"/>
        </w:rPr>
        <w:t>,</w:t>
      </w:r>
      <w:r w:rsidRPr="0077427C">
        <w:rPr>
          <w:rFonts w:ascii="Times New Roman" w:hAnsi="Times New Roman"/>
          <w:sz w:val="26"/>
          <w:szCs w:val="26"/>
        </w:rPr>
        <w:t xml:space="preserve"> da un lato</w:t>
      </w:r>
      <w:r w:rsidR="003808D2" w:rsidRPr="0077427C">
        <w:rPr>
          <w:rFonts w:ascii="Times New Roman" w:hAnsi="Times New Roman"/>
          <w:sz w:val="26"/>
          <w:szCs w:val="26"/>
        </w:rPr>
        <w:t>,</w:t>
      </w:r>
      <w:r w:rsidRPr="0077427C">
        <w:rPr>
          <w:rFonts w:ascii="Times New Roman" w:hAnsi="Times New Roman"/>
          <w:sz w:val="26"/>
          <w:szCs w:val="26"/>
        </w:rPr>
        <w:t xml:space="preserve"> riconoscere la possibilità di accedere alla cessione del credito solo agli incapienti, e dall’altro istituire un fondo di garanzia per l’accesso al credito a tassi agevolati. Ciò in linea con quanto avviene negli altri Paesi in cui la detrazione è più bassa, ma l’accesso al credito è agevolato. Il fondo di garanzia potrebbe mettere in moto delle imprese e delle </w:t>
      </w:r>
      <w:proofErr w:type="spellStart"/>
      <w:r w:rsidRPr="0077427C">
        <w:rPr>
          <w:rFonts w:ascii="Times New Roman" w:hAnsi="Times New Roman"/>
          <w:sz w:val="26"/>
          <w:szCs w:val="26"/>
        </w:rPr>
        <w:t>ESCo</w:t>
      </w:r>
      <w:proofErr w:type="spellEnd"/>
      <w:r w:rsidRPr="0077427C">
        <w:rPr>
          <w:rFonts w:ascii="Times New Roman" w:hAnsi="Times New Roman"/>
          <w:sz w:val="26"/>
          <w:szCs w:val="26"/>
        </w:rPr>
        <w:t xml:space="preserve">, che, attraverso un finanziamento, fanno l’intera operazione di qualificazione, creandosi in generale le condizioni per interventi anche ambiziosi da un punto di vista energetico. </w:t>
      </w:r>
    </w:p>
    <w:p w14:paraId="44484475" w14:textId="77777777" w:rsidR="009C2AB2" w:rsidRPr="0077427C" w:rsidRDefault="009C2AB2" w:rsidP="009C2AB2">
      <w:pPr>
        <w:rPr>
          <w:rFonts w:ascii="Times New Roman" w:hAnsi="Times New Roman"/>
          <w:sz w:val="26"/>
          <w:szCs w:val="26"/>
        </w:rPr>
      </w:pPr>
      <w:r w:rsidRPr="0077427C">
        <w:rPr>
          <w:rFonts w:ascii="Times New Roman" w:hAnsi="Times New Roman"/>
          <w:sz w:val="26"/>
          <w:szCs w:val="26"/>
        </w:rPr>
        <w:t xml:space="preserve">Da ultimo, Zanchini ha richiamato l’attenzione sulla proposta di revisione del conto termico, individuata come la strategia migliore, essendo uno strumento diffuso, gestito dal GSE, finanziato dalle tariffe del gas, senza alcun intervento finanziario da parte del Governo e con uno stanziamento di 900 milioni di euro l’anno per incentivi per la riqualificazione del patrimonio edilizio privato e pubblico. </w:t>
      </w:r>
      <w:r w:rsidR="00847FDD" w:rsidRPr="0077427C">
        <w:rPr>
          <w:rFonts w:ascii="Times New Roman" w:hAnsi="Times New Roman"/>
          <w:sz w:val="26"/>
          <w:szCs w:val="26"/>
        </w:rPr>
        <w:t xml:space="preserve">Considerato che </w:t>
      </w:r>
      <w:r w:rsidRPr="0077427C">
        <w:rPr>
          <w:rFonts w:ascii="Times New Roman" w:hAnsi="Times New Roman"/>
          <w:sz w:val="26"/>
          <w:szCs w:val="26"/>
        </w:rPr>
        <w:t>il prelievo per il patrimonio privato è andato diminuendo nel tempo, la proposta di Zanchini è di destinare metà dello stanziamento al patrimonio edilizio pubblico e metà a quello privato, per restituire maggiore capienza agli interventi su edifici pubblici. Il conto termico inoltre permetterebbe una migliore programmazione pluriennale degli interventi, necessaria per poter intervenire sul gran numero di edifici da riqualificare.</w:t>
      </w:r>
    </w:p>
    <w:p w14:paraId="23770A95" w14:textId="77777777" w:rsidR="009C2AB2" w:rsidRPr="0077427C" w:rsidRDefault="009C2AB2" w:rsidP="009C2AB2">
      <w:pPr>
        <w:rPr>
          <w:rFonts w:ascii="Times New Roman" w:hAnsi="Times New Roman"/>
          <w:sz w:val="26"/>
          <w:szCs w:val="26"/>
        </w:rPr>
      </w:pPr>
      <w:r w:rsidRPr="0077427C">
        <w:rPr>
          <w:rFonts w:ascii="Times New Roman" w:hAnsi="Times New Roman"/>
          <w:sz w:val="26"/>
          <w:szCs w:val="26"/>
        </w:rPr>
        <w:t>Ultima proposta emersa nel corso dell’audizione è quella dell’istituzione presso l’ENEA di una banca dati degli interventi realizzati che permetta di avere contezza di dove sono stati eseguiti e dei risultati raggiunti, per comprendere meglio la strada da intraprendere e quali interventi sono più virtuosi in termini di riduzione del consumo energetico.</w:t>
      </w:r>
    </w:p>
    <w:p w14:paraId="28DDB3F2" w14:textId="77777777" w:rsidR="009C2AB2" w:rsidRPr="0077427C" w:rsidRDefault="009C2AB2" w:rsidP="009C2AB2">
      <w:pPr>
        <w:rPr>
          <w:rFonts w:ascii="Times New Roman" w:hAnsi="Times New Roman"/>
          <w:sz w:val="26"/>
          <w:szCs w:val="26"/>
        </w:rPr>
      </w:pPr>
    </w:p>
    <w:p w14:paraId="5C4D1F22" w14:textId="77777777" w:rsidR="009C2AB2" w:rsidRPr="0077427C" w:rsidRDefault="009C2AB2" w:rsidP="009C2AB2">
      <w:pPr>
        <w:rPr>
          <w:rFonts w:ascii="Times New Roman" w:hAnsi="Times New Roman"/>
          <w:i/>
          <w:sz w:val="26"/>
          <w:szCs w:val="26"/>
        </w:rPr>
      </w:pPr>
      <w:r w:rsidRPr="0077427C">
        <w:rPr>
          <w:rFonts w:ascii="Times New Roman" w:hAnsi="Times New Roman"/>
          <w:b/>
          <w:sz w:val="26"/>
          <w:szCs w:val="26"/>
        </w:rPr>
        <w:t>Federazione Italiana degli Agenti Immobiliari Professionali (FIAIP)</w:t>
      </w:r>
      <w:r w:rsidR="00371480" w:rsidRPr="0077427C">
        <w:rPr>
          <w:rFonts w:ascii="Times New Roman" w:hAnsi="Times New Roman"/>
          <w:i/>
          <w:sz w:val="26"/>
          <w:szCs w:val="26"/>
        </w:rPr>
        <w:t xml:space="preserve"> </w:t>
      </w:r>
    </w:p>
    <w:p w14:paraId="15B03B7D" w14:textId="77777777" w:rsidR="009C2AB2" w:rsidRPr="0077427C" w:rsidRDefault="00EE5F20" w:rsidP="00EE5F20">
      <w:pPr>
        <w:rPr>
          <w:rFonts w:ascii="Times New Roman" w:hAnsi="Times New Roman"/>
          <w:i/>
          <w:sz w:val="26"/>
          <w:szCs w:val="26"/>
        </w:rPr>
      </w:pPr>
      <w:r w:rsidRPr="0077427C">
        <w:rPr>
          <w:rFonts w:ascii="Times New Roman" w:hAnsi="Times New Roman"/>
          <w:sz w:val="26"/>
          <w:szCs w:val="26"/>
        </w:rPr>
        <w:t>Nel corso dell’audizione del 2 maggio 2023, è stato</w:t>
      </w:r>
      <w:r w:rsidR="009C2AB2" w:rsidRPr="0077427C">
        <w:rPr>
          <w:rFonts w:ascii="Times New Roman" w:hAnsi="Times New Roman"/>
          <w:sz w:val="26"/>
          <w:szCs w:val="26"/>
        </w:rPr>
        <w:t xml:space="preserve"> sottolineato come il </w:t>
      </w:r>
      <w:r w:rsidR="009C2AB2" w:rsidRPr="0077427C">
        <w:rPr>
          <w:rFonts w:ascii="Times New Roman" w:hAnsi="Times New Roman"/>
          <w:i/>
          <w:sz w:val="26"/>
          <w:szCs w:val="26"/>
        </w:rPr>
        <w:t>superbonus</w:t>
      </w:r>
      <w:r w:rsidR="009C2AB2" w:rsidRPr="0077427C">
        <w:rPr>
          <w:rFonts w:ascii="Times New Roman" w:hAnsi="Times New Roman"/>
          <w:sz w:val="26"/>
          <w:szCs w:val="26"/>
        </w:rPr>
        <w:t xml:space="preserve"> e i bonus edilizi abbiano dato una forte spinta e contribuito in maniera decisiva alla dinamicità del mercato immobiliare, che negli ultimi due anni ha registrato un numero di compravendite pari al doppio di quello avutosi dieci anni fa, evidenziando come leve maggiormente strategiche la cessione del credito e lo sconto diretto in fattura. Da tale constatazione emerge la preoccupazione che la forte limitazione di tali incentivi pos</w:t>
      </w:r>
      <w:r w:rsidR="00F26BE7" w:rsidRPr="0077427C">
        <w:rPr>
          <w:rFonts w:ascii="Times New Roman" w:hAnsi="Times New Roman"/>
          <w:sz w:val="26"/>
          <w:szCs w:val="26"/>
        </w:rPr>
        <w:t>s</w:t>
      </w:r>
      <w:r w:rsidR="009C2AB2" w:rsidRPr="0077427C">
        <w:rPr>
          <w:rFonts w:ascii="Times New Roman" w:hAnsi="Times New Roman"/>
          <w:sz w:val="26"/>
          <w:szCs w:val="26"/>
        </w:rPr>
        <w:t>a avere effetti negativi sul mercato immobiliare, in particolare dell’usato, che assorbe l’80 per cento del mercato totale delle compravendite, e sulla conseguente riqualificazione energetica degli immobili usati oggetto di compravendita, anche in vista del raggiungimento degli stringenti obiettivi fissati in sede europea.</w:t>
      </w:r>
    </w:p>
    <w:p w14:paraId="24E6DF9C" w14:textId="77777777" w:rsidR="009C2AB2" w:rsidRPr="0077427C" w:rsidRDefault="009C2AB2" w:rsidP="009C2AB2">
      <w:pPr>
        <w:rPr>
          <w:rFonts w:ascii="Times New Roman" w:hAnsi="Times New Roman"/>
          <w:sz w:val="26"/>
          <w:szCs w:val="26"/>
        </w:rPr>
      </w:pPr>
      <w:r w:rsidRPr="0077427C">
        <w:rPr>
          <w:rFonts w:ascii="Times New Roman" w:hAnsi="Times New Roman"/>
          <w:sz w:val="26"/>
          <w:szCs w:val="26"/>
        </w:rPr>
        <w:t xml:space="preserve">Le proposte della FIAIP rispetto al </w:t>
      </w:r>
      <w:r w:rsidRPr="0077427C">
        <w:rPr>
          <w:rFonts w:ascii="Times New Roman" w:hAnsi="Times New Roman"/>
          <w:i/>
          <w:sz w:val="26"/>
          <w:szCs w:val="26"/>
        </w:rPr>
        <w:t>superbonus</w:t>
      </w:r>
      <w:r w:rsidRPr="0077427C">
        <w:rPr>
          <w:rFonts w:ascii="Times New Roman" w:hAnsi="Times New Roman"/>
          <w:sz w:val="26"/>
          <w:szCs w:val="26"/>
        </w:rPr>
        <w:t xml:space="preserve"> sono quindi di estenderlo a partire dal 2024 per altri 5 anni con un’aliquota fissa al 70 per cento, con il mantenimento della previsione della cessione del credito e dello sconto in fattura, solo ed esclusivamente per quelle spese relative a interventi che garantiscono un reale ed effettivo risparmio energetico, e di estenderlo all’intero patrimonio immobiliare residenziale e non residenziale.</w:t>
      </w:r>
    </w:p>
    <w:p w14:paraId="481D3C29" w14:textId="77777777" w:rsidR="009C2AB2" w:rsidRPr="0077427C" w:rsidRDefault="009C2AB2" w:rsidP="009C2AB2">
      <w:pPr>
        <w:rPr>
          <w:rFonts w:ascii="Times New Roman" w:hAnsi="Times New Roman"/>
          <w:sz w:val="26"/>
          <w:szCs w:val="26"/>
        </w:rPr>
      </w:pPr>
      <w:r w:rsidRPr="0077427C">
        <w:rPr>
          <w:rFonts w:ascii="Times New Roman" w:hAnsi="Times New Roman"/>
          <w:sz w:val="26"/>
          <w:szCs w:val="26"/>
        </w:rPr>
        <w:t xml:space="preserve">In relazione agli altri bonus fiscali, la FIAIP propone inoltre di riordinare le attuali aliquote esistenti riducendole a tre (70 per cento per gli interventi di ecobonus, 80 per cento per gli interventi di </w:t>
      </w:r>
      <w:proofErr w:type="spellStart"/>
      <w:r w:rsidRPr="0077427C">
        <w:rPr>
          <w:rFonts w:ascii="Times New Roman" w:hAnsi="Times New Roman"/>
          <w:i/>
          <w:sz w:val="26"/>
          <w:szCs w:val="26"/>
        </w:rPr>
        <w:t>sismabonus</w:t>
      </w:r>
      <w:proofErr w:type="spellEnd"/>
      <w:r w:rsidRPr="0077427C">
        <w:rPr>
          <w:rFonts w:ascii="Times New Roman" w:hAnsi="Times New Roman"/>
          <w:sz w:val="26"/>
          <w:szCs w:val="26"/>
        </w:rPr>
        <w:t xml:space="preserve"> e 50 per cento per gli altri incentivi fiscali edilizi), estenderli dal 2024 per altri 5 anni per permettere una programmazione, introdurre la detraibilità in cinque anni per le spese fino a 10.000 euro, e mantenere il recupero fiscale a dieci anni per le spese oltre i 10.000 euro, per agevolare chi ha scarsa capienza fiscale.</w:t>
      </w:r>
    </w:p>
    <w:p w14:paraId="2499DE97" w14:textId="77777777" w:rsidR="009C2AB2" w:rsidRPr="0077427C" w:rsidRDefault="009C2AB2" w:rsidP="009C2AB2">
      <w:pPr>
        <w:rPr>
          <w:rFonts w:ascii="Times New Roman" w:hAnsi="Times New Roman"/>
          <w:sz w:val="26"/>
          <w:szCs w:val="26"/>
        </w:rPr>
      </w:pPr>
      <w:r w:rsidRPr="0077427C">
        <w:rPr>
          <w:rFonts w:ascii="Times New Roman" w:hAnsi="Times New Roman"/>
          <w:sz w:val="26"/>
          <w:szCs w:val="26"/>
        </w:rPr>
        <w:t>Quanto all’edilizia residenziale pubblica, FIAIP propone l’adozione di linee guida di riferimento per tutte le amministrazioni comunali, affinché le stesse, da un lato, attuino un piano strutturato di edilizia pubblica sociale convenzionata, anche attraverso le risorse del PNRR, riqualificando gli immobili dismessi e disabitati o le aree degradate e mettendo a disposizione le abitazioni per chi ha minori possibilità economiche a canone calmierato o a prezzi convenzionati, e dall’altro inseriscano nei piani strutturali comunali criteri incentivanti per l’iniziativa privata, sia di natura tecnica che di natura fiscale.</w:t>
      </w:r>
    </w:p>
    <w:p w14:paraId="3DFD1DB3" w14:textId="039D9C54" w:rsidR="009C2AB2" w:rsidRPr="0077427C" w:rsidRDefault="009C2AB2" w:rsidP="009C2AB2">
      <w:pPr>
        <w:rPr>
          <w:rFonts w:ascii="Times New Roman" w:hAnsi="Times New Roman"/>
          <w:sz w:val="26"/>
          <w:szCs w:val="26"/>
        </w:rPr>
      </w:pPr>
      <w:r w:rsidRPr="0077427C">
        <w:rPr>
          <w:rFonts w:ascii="Times New Roman" w:hAnsi="Times New Roman"/>
          <w:sz w:val="26"/>
          <w:szCs w:val="26"/>
        </w:rPr>
        <w:t>Quanto agli obiettivi previsti dalla</w:t>
      </w:r>
      <w:r w:rsidR="00013034" w:rsidRPr="0077427C">
        <w:rPr>
          <w:rFonts w:ascii="Times New Roman" w:hAnsi="Times New Roman"/>
          <w:sz w:val="26"/>
          <w:szCs w:val="26"/>
        </w:rPr>
        <w:t xml:space="preserve"> direttiva</w:t>
      </w:r>
      <w:r w:rsidRPr="0077427C">
        <w:rPr>
          <w:rFonts w:ascii="Times New Roman" w:hAnsi="Times New Roman"/>
          <w:sz w:val="26"/>
          <w:szCs w:val="26"/>
        </w:rPr>
        <w:t xml:space="preserve"> </w:t>
      </w:r>
      <w:r w:rsidR="00013034" w:rsidRPr="0077427C">
        <w:rPr>
          <w:rFonts w:ascii="Times New Roman" w:hAnsi="Times New Roman"/>
          <w:sz w:val="26"/>
          <w:szCs w:val="26"/>
        </w:rPr>
        <w:t>sulla prestazione energetica nell'edilizia,</w:t>
      </w:r>
      <w:r w:rsidRPr="0077427C">
        <w:rPr>
          <w:rFonts w:ascii="Times New Roman" w:hAnsi="Times New Roman"/>
          <w:sz w:val="26"/>
          <w:szCs w:val="26"/>
        </w:rPr>
        <w:t xml:space="preserve"> la FIAIP, attraverso un documento presentato al ministro Pichetto Fratin e alla relatrice ombra del provvedimento, l’onorevole Tovaglieri, ha proposto tre correttivi: insistere sugli incentivi fiscali strutturali, coperti finanziariamente da un fondo energetico europeo, con forme di finanziamento agevolato; prevedere un sistema di esenzioni più ampio in ragione della specificità del patrimonio immobiliare italiano; consentire una gradualità allungando i limiti temporali ad oggi irraggiungibili.</w:t>
      </w:r>
    </w:p>
    <w:p w14:paraId="32692383" w14:textId="77777777" w:rsidR="009C2AB2" w:rsidRPr="0077427C" w:rsidRDefault="009C2AB2" w:rsidP="009C2AB2">
      <w:pPr>
        <w:ind w:firstLine="0"/>
        <w:rPr>
          <w:rFonts w:ascii="Times New Roman" w:hAnsi="Times New Roman"/>
          <w:sz w:val="26"/>
          <w:szCs w:val="26"/>
        </w:rPr>
      </w:pPr>
    </w:p>
    <w:p w14:paraId="06841702" w14:textId="77777777" w:rsidR="009C2AB2" w:rsidRPr="0077427C" w:rsidRDefault="009C2AB2" w:rsidP="009C2AB2">
      <w:pPr>
        <w:rPr>
          <w:rFonts w:ascii="Times New Roman" w:hAnsi="Times New Roman"/>
          <w:i/>
          <w:sz w:val="26"/>
          <w:szCs w:val="26"/>
        </w:rPr>
      </w:pPr>
      <w:r w:rsidRPr="0077427C">
        <w:rPr>
          <w:rFonts w:ascii="Times New Roman" w:hAnsi="Times New Roman"/>
          <w:b/>
          <w:sz w:val="26"/>
          <w:szCs w:val="26"/>
        </w:rPr>
        <w:t>Associazione Italiana per il Riscaldamento Urbano (AIRU)</w:t>
      </w:r>
      <w:r w:rsidR="00371480" w:rsidRPr="0077427C">
        <w:rPr>
          <w:rFonts w:ascii="Times New Roman" w:hAnsi="Times New Roman"/>
          <w:b/>
          <w:sz w:val="26"/>
          <w:szCs w:val="26"/>
        </w:rPr>
        <w:t xml:space="preserve"> </w:t>
      </w:r>
    </w:p>
    <w:p w14:paraId="147366F8" w14:textId="0FAE569F" w:rsidR="009C2AB2" w:rsidRPr="0077427C" w:rsidRDefault="009C2AB2" w:rsidP="009C2AB2">
      <w:pPr>
        <w:rPr>
          <w:rFonts w:ascii="Times New Roman" w:hAnsi="Times New Roman"/>
          <w:sz w:val="26"/>
          <w:szCs w:val="26"/>
        </w:rPr>
      </w:pPr>
      <w:r w:rsidRPr="0077427C">
        <w:rPr>
          <w:rFonts w:ascii="Times New Roman" w:hAnsi="Times New Roman"/>
          <w:sz w:val="26"/>
          <w:szCs w:val="26"/>
        </w:rPr>
        <w:t>L’Associazione Italiana per il Riscaldamento Urbano (AIRU), nel ricordare che gli edifici nell'area dell'U</w:t>
      </w:r>
      <w:r w:rsidR="00013034" w:rsidRPr="0077427C">
        <w:rPr>
          <w:rFonts w:ascii="Times New Roman" w:hAnsi="Times New Roman"/>
          <w:sz w:val="26"/>
          <w:szCs w:val="26"/>
        </w:rPr>
        <w:t>nione europea</w:t>
      </w:r>
      <w:r w:rsidRPr="0077427C">
        <w:rPr>
          <w:rFonts w:ascii="Times New Roman" w:hAnsi="Times New Roman"/>
          <w:sz w:val="26"/>
          <w:szCs w:val="26"/>
        </w:rPr>
        <w:t xml:space="preserve"> sono responsabili del 40 per cento dei consumi e del 36 per cento delle emissioni e che l’80 per cento del consumo energetico delle famiglie è volto a soddisfare esigenze di riscaldamento degli edifici e di riscaldamento dell'acqua igienico-sanitaria, ha sottolineato che il settore edilizio svolge la parte del leone nel raggiungimento dell’obiettivo della decarbonizzazione. Secondo l’AIRU il teleriscaldamento potrà dare sempre più un forte contributo alla riduzione delle emissioni. Dato che molti edifici sul territorio nazionale sono di pregio o </w:t>
      </w:r>
      <w:r w:rsidR="00847FDD" w:rsidRPr="0077427C">
        <w:rPr>
          <w:rFonts w:ascii="Times New Roman" w:hAnsi="Times New Roman"/>
          <w:sz w:val="26"/>
          <w:szCs w:val="26"/>
        </w:rPr>
        <w:t>ubic</w:t>
      </w:r>
      <w:r w:rsidRPr="0077427C">
        <w:rPr>
          <w:rFonts w:ascii="Times New Roman" w:hAnsi="Times New Roman"/>
          <w:sz w:val="26"/>
          <w:szCs w:val="26"/>
        </w:rPr>
        <w:t xml:space="preserve">ati in contesti monumentali, spesso posizionare in essi il cappotto non risulta essere possibile. Quindi, per abbattere le emissioni, il teleriscaldamento è uno strumento efficace, poiché le tubazioni che trasferiscono energia termica all'edificio passano </w:t>
      </w:r>
      <w:proofErr w:type="gramStart"/>
      <w:r w:rsidRPr="0077427C">
        <w:rPr>
          <w:rFonts w:ascii="Times New Roman" w:hAnsi="Times New Roman"/>
          <w:sz w:val="26"/>
          <w:szCs w:val="26"/>
        </w:rPr>
        <w:t>sotto terra</w:t>
      </w:r>
      <w:proofErr w:type="gramEnd"/>
      <w:r w:rsidRPr="0077427C">
        <w:rPr>
          <w:rFonts w:ascii="Times New Roman" w:hAnsi="Times New Roman"/>
          <w:sz w:val="26"/>
          <w:szCs w:val="26"/>
        </w:rPr>
        <w:t xml:space="preserve"> e quindi non sono invasive sull'involucro stesso.</w:t>
      </w:r>
    </w:p>
    <w:p w14:paraId="2A41F743" w14:textId="77777777" w:rsidR="009C2AB2" w:rsidRPr="0077427C" w:rsidRDefault="009C2AB2" w:rsidP="009C2AB2">
      <w:pPr>
        <w:rPr>
          <w:rFonts w:ascii="Times New Roman" w:hAnsi="Times New Roman"/>
          <w:sz w:val="26"/>
          <w:szCs w:val="26"/>
        </w:rPr>
      </w:pPr>
      <w:r w:rsidRPr="0077427C">
        <w:rPr>
          <w:rFonts w:ascii="Times New Roman" w:hAnsi="Times New Roman"/>
          <w:sz w:val="26"/>
          <w:szCs w:val="26"/>
        </w:rPr>
        <w:t>L’AIRU ha evidenziato, poi, che, secondo uno studio dei Politecnici di Milano e Torino, la capacità di generazione del calore da teleriscaldamento potrebbe quintuplicare, consentendo una riduzione di circa 8 milioni di tonnellate di CO2 in un contesto urbano, dove la qualità dell'aria è sempre importante. Per sviluppare questo potenziale però, ad avviso dell’AIRU</w:t>
      </w:r>
      <w:r w:rsidR="00847FDD" w:rsidRPr="0077427C">
        <w:rPr>
          <w:rFonts w:ascii="Times New Roman" w:hAnsi="Times New Roman"/>
          <w:sz w:val="26"/>
          <w:szCs w:val="26"/>
        </w:rPr>
        <w:t>,</w:t>
      </w:r>
      <w:r w:rsidRPr="0077427C">
        <w:rPr>
          <w:rFonts w:ascii="Times New Roman" w:hAnsi="Times New Roman"/>
          <w:sz w:val="26"/>
          <w:szCs w:val="26"/>
        </w:rPr>
        <w:t xml:space="preserve"> sono necessari gli incentivi a sostegno della specifica tecnologia, che ha subìto negli ultimi anni un'incentivazione asimmetrica rispetto a tecnologie alternative e non è stat</w:t>
      </w:r>
      <w:r w:rsidR="00FF1D5C" w:rsidRPr="0077427C">
        <w:rPr>
          <w:rFonts w:ascii="Times New Roman" w:hAnsi="Times New Roman"/>
          <w:sz w:val="26"/>
          <w:szCs w:val="26"/>
        </w:rPr>
        <w:t>a</w:t>
      </w:r>
      <w:r w:rsidRPr="0077427C">
        <w:rPr>
          <w:rFonts w:ascii="Times New Roman" w:hAnsi="Times New Roman"/>
          <w:sz w:val="26"/>
          <w:szCs w:val="26"/>
        </w:rPr>
        <w:t xml:space="preserve"> inclus</w:t>
      </w:r>
      <w:r w:rsidR="00FF1D5C" w:rsidRPr="0077427C">
        <w:rPr>
          <w:rFonts w:ascii="Times New Roman" w:hAnsi="Times New Roman"/>
          <w:sz w:val="26"/>
          <w:szCs w:val="26"/>
        </w:rPr>
        <w:t>a</w:t>
      </w:r>
      <w:r w:rsidRPr="0077427C">
        <w:rPr>
          <w:rFonts w:ascii="Times New Roman" w:hAnsi="Times New Roman"/>
          <w:sz w:val="26"/>
          <w:szCs w:val="26"/>
        </w:rPr>
        <w:t xml:space="preserve"> tra gli interventi trainanti del </w:t>
      </w:r>
      <w:r w:rsidRPr="0077427C">
        <w:rPr>
          <w:rFonts w:ascii="Times New Roman" w:hAnsi="Times New Roman"/>
          <w:i/>
          <w:sz w:val="26"/>
          <w:szCs w:val="26"/>
        </w:rPr>
        <w:t>superbonus</w:t>
      </w:r>
      <w:r w:rsidRPr="0077427C">
        <w:rPr>
          <w:rFonts w:ascii="Times New Roman" w:hAnsi="Times New Roman"/>
          <w:sz w:val="26"/>
          <w:szCs w:val="26"/>
        </w:rPr>
        <w:t xml:space="preserve">. </w:t>
      </w:r>
    </w:p>
    <w:p w14:paraId="3FB77D89" w14:textId="77777777" w:rsidR="009C2AB2" w:rsidRPr="0077427C" w:rsidRDefault="009C2AB2" w:rsidP="009C2AB2">
      <w:pPr>
        <w:rPr>
          <w:rFonts w:ascii="Times New Roman" w:hAnsi="Times New Roman"/>
          <w:sz w:val="26"/>
          <w:szCs w:val="26"/>
        </w:rPr>
      </w:pPr>
      <w:r w:rsidRPr="0077427C">
        <w:rPr>
          <w:rFonts w:ascii="Times New Roman" w:hAnsi="Times New Roman"/>
          <w:sz w:val="26"/>
          <w:szCs w:val="26"/>
        </w:rPr>
        <w:t>L’AIRU auspica inoltre che il conto termico sia revisionato e che tale revisione porti ad includere in esso gli incentivi all'allaccio al teleriscaldamento.</w:t>
      </w:r>
    </w:p>
    <w:p w14:paraId="7D57D372" w14:textId="77777777" w:rsidR="009C2AB2" w:rsidRPr="0077427C" w:rsidRDefault="009C2AB2" w:rsidP="009C2AB2">
      <w:pPr>
        <w:rPr>
          <w:rFonts w:ascii="Times New Roman" w:hAnsi="Times New Roman"/>
          <w:sz w:val="26"/>
          <w:szCs w:val="26"/>
        </w:rPr>
      </w:pPr>
    </w:p>
    <w:p w14:paraId="2D57C516" w14:textId="77777777" w:rsidR="009C2AB2" w:rsidRPr="0077427C" w:rsidRDefault="00922FC1" w:rsidP="009C2AB2">
      <w:pPr>
        <w:rPr>
          <w:rFonts w:ascii="Times New Roman" w:hAnsi="Times New Roman"/>
          <w:i/>
          <w:sz w:val="26"/>
          <w:szCs w:val="26"/>
        </w:rPr>
      </w:pPr>
      <w:r w:rsidRPr="0077427C">
        <w:rPr>
          <w:rFonts w:ascii="Times New Roman" w:hAnsi="Times New Roman"/>
          <w:b/>
          <w:sz w:val="26"/>
          <w:szCs w:val="26"/>
        </w:rPr>
        <w:t>Davide</w:t>
      </w:r>
      <w:r w:rsidR="009C2AB2" w:rsidRPr="0077427C">
        <w:rPr>
          <w:rFonts w:ascii="Times New Roman" w:hAnsi="Times New Roman"/>
          <w:b/>
          <w:sz w:val="26"/>
          <w:szCs w:val="26"/>
        </w:rPr>
        <w:t xml:space="preserve"> </w:t>
      </w:r>
      <w:proofErr w:type="spellStart"/>
      <w:r w:rsidR="009C2AB2" w:rsidRPr="0077427C">
        <w:rPr>
          <w:rFonts w:ascii="Times New Roman" w:hAnsi="Times New Roman"/>
          <w:b/>
          <w:sz w:val="26"/>
          <w:szCs w:val="26"/>
        </w:rPr>
        <w:t>Chiaroni</w:t>
      </w:r>
      <w:proofErr w:type="spellEnd"/>
      <w:r w:rsidR="009C2AB2" w:rsidRPr="0077427C">
        <w:rPr>
          <w:rFonts w:ascii="Times New Roman" w:hAnsi="Times New Roman"/>
          <w:b/>
          <w:sz w:val="26"/>
          <w:szCs w:val="26"/>
        </w:rPr>
        <w:t xml:space="preserve">, </w:t>
      </w:r>
      <w:r w:rsidRPr="0077427C">
        <w:rPr>
          <w:rFonts w:ascii="Times New Roman" w:hAnsi="Times New Roman"/>
          <w:b/>
          <w:sz w:val="26"/>
          <w:szCs w:val="26"/>
        </w:rPr>
        <w:t xml:space="preserve">professore </w:t>
      </w:r>
      <w:r w:rsidR="009C2AB2" w:rsidRPr="0077427C">
        <w:rPr>
          <w:rFonts w:ascii="Times New Roman" w:hAnsi="Times New Roman"/>
          <w:b/>
          <w:sz w:val="26"/>
          <w:szCs w:val="26"/>
        </w:rPr>
        <w:t xml:space="preserve">ordinario di Strategia e marketing presso il Politecnico di Milano e </w:t>
      </w:r>
      <w:proofErr w:type="gramStart"/>
      <w:r w:rsidR="009C2AB2" w:rsidRPr="0077427C">
        <w:rPr>
          <w:rFonts w:ascii="Times New Roman" w:hAnsi="Times New Roman"/>
          <w:b/>
          <w:sz w:val="26"/>
          <w:szCs w:val="26"/>
        </w:rPr>
        <w:t>vice direttore</w:t>
      </w:r>
      <w:proofErr w:type="gramEnd"/>
      <w:r w:rsidR="009C2AB2" w:rsidRPr="0077427C">
        <w:rPr>
          <w:rFonts w:ascii="Times New Roman" w:hAnsi="Times New Roman"/>
          <w:b/>
          <w:sz w:val="26"/>
          <w:szCs w:val="26"/>
        </w:rPr>
        <w:t xml:space="preserve"> di Energy &amp; Strategy</w:t>
      </w:r>
      <w:r w:rsidR="00371480" w:rsidRPr="0077427C">
        <w:rPr>
          <w:rFonts w:ascii="Times New Roman" w:hAnsi="Times New Roman"/>
          <w:b/>
          <w:sz w:val="26"/>
          <w:szCs w:val="26"/>
        </w:rPr>
        <w:t xml:space="preserve"> </w:t>
      </w:r>
    </w:p>
    <w:p w14:paraId="1B309C76" w14:textId="77777777" w:rsidR="009C2AB2" w:rsidRPr="0077427C" w:rsidRDefault="009C2AB2" w:rsidP="009C2AB2">
      <w:pPr>
        <w:rPr>
          <w:rFonts w:ascii="Times New Roman" w:hAnsi="Times New Roman"/>
          <w:sz w:val="26"/>
          <w:szCs w:val="26"/>
        </w:rPr>
      </w:pPr>
      <w:r w:rsidRPr="0077427C">
        <w:rPr>
          <w:rFonts w:ascii="Times New Roman" w:hAnsi="Times New Roman"/>
          <w:sz w:val="26"/>
          <w:szCs w:val="26"/>
        </w:rPr>
        <w:t xml:space="preserve">Il professor </w:t>
      </w:r>
      <w:proofErr w:type="spellStart"/>
      <w:r w:rsidRPr="0077427C">
        <w:rPr>
          <w:rFonts w:ascii="Times New Roman" w:hAnsi="Times New Roman"/>
          <w:sz w:val="26"/>
          <w:szCs w:val="26"/>
        </w:rPr>
        <w:t>Chiaroni</w:t>
      </w:r>
      <w:proofErr w:type="spellEnd"/>
      <w:r w:rsidRPr="0077427C">
        <w:rPr>
          <w:rFonts w:ascii="Times New Roman" w:hAnsi="Times New Roman"/>
          <w:sz w:val="26"/>
          <w:szCs w:val="26"/>
        </w:rPr>
        <w:t xml:space="preserve">, </w:t>
      </w:r>
      <w:r w:rsidR="00922FC1" w:rsidRPr="0077427C">
        <w:rPr>
          <w:rFonts w:ascii="Times New Roman" w:hAnsi="Times New Roman"/>
          <w:sz w:val="26"/>
          <w:szCs w:val="26"/>
        </w:rPr>
        <w:t>nel corso dell’audizione del 10 maggio 2023</w:t>
      </w:r>
      <w:r w:rsidRPr="0077427C">
        <w:rPr>
          <w:rFonts w:ascii="Times New Roman" w:hAnsi="Times New Roman"/>
          <w:sz w:val="26"/>
          <w:szCs w:val="26"/>
        </w:rPr>
        <w:t xml:space="preserve">, muovendo dalla considerazione dell’importanza di efficientare un patrimonio edilizio vetusto e scarsamente efficiente in termini energetici, ha sottolineato che in Italia vi sono forse troppi strumenti di incentivazione (in molti casi tra di loro sovrapposti o in conflitto) con una predominanza di incentivi per gli interventi di natura </w:t>
      </w:r>
      <w:r w:rsidRPr="0077427C">
        <w:rPr>
          <w:rFonts w:ascii="Times New Roman" w:hAnsi="Times New Roman"/>
          <w:i/>
          <w:sz w:val="26"/>
          <w:szCs w:val="26"/>
        </w:rPr>
        <w:t>hard</w:t>
      </w:r>
      <w:r w:rsidRPr="0077427C">
        <w:rPr>
          <w:rFonts w:ascii="Times New Roman" w:hAnsi="Times New Roman"/>
          <w:sz w:val="26"/>
          <w:szCs w:val="26"/>
        </w:rPr>
        <w:t xml:space="preserve"> sulle infrastrutture e sull'impiantistica. Ha sottolineato altresì che in tale incentivazione c'è molta meno attenzione agli aspetti di gestione, di monitoraggio e di digitalizzazione, che tuttavia sono particolarmente importanti, e c'è poca visione d'assieme: la generazione distribuita, la mobilità sostenibile e l'efficienza energetica, che dovrebbero andare di pari passo quando si immaginano interventi su questo tipo di edifici, oggi non sono considerate.</w:t>
      </w:r>
    </w:p>
    <w:p w14:paraId="32EF0893" w14:textId="77777777" w:rsidR="009C2AB2" w:rsidRPr="0077427C" w:rsidRDefault="009C2AB2" w:rsidP="009C2AB2">
      <w:pPr>
        <w:rPr>
          <w:rFonts w:ascii="Times New Roman" w:hAnsi="Times New Roman"/>
          <w:sz w:val="26"/>
          <w:szCs w:val="26"/>
        </w:rPr>
      </w:pPr>
      <w:r w:rsidRPr="0077427C">
        <w:rPr>
          <w:rFonts w:ascii="Times New Roman" w:hAnsi="Times New Roman"/>
          <w:sz w:val="26"/>
          <w:szCs w:val="26"/>
        </w:rPr>
        <w:t xml:space="preserve">Ha ricordato inoltre che il </w:t>
      </w:r>
      <w:r w:rsidRPr="0077427C">
        <w:rPr>
          <w:rFonts w:ascii="Times New Roman" w:hAnsi="Times New Roman"/>
          <w:i/>
          <w:sz w:val="26"/>
          <w:szCs w:val="26"/>
        </w:rPr>
        <w:t>superbonus</w:t>
      </w:r>
      <w:r w:rsidRPr="0077427C">
        <w:rPr>
          <w:rFonts w:ascii="Times New Roman" w:hAnsi="Times New Roman"/>
          <w:sz w:val="26"/>
          <w:szCs w:val="26"/>
        </w:rPr>
        <w:t xml:space="preserve"> ha riguardato solo il 3% di quei 12 milioni di edifici che in realtà avrebbero bisogno di essere modificati o rinnovati per ottenere l'obiettivo di efficientamento energetico. Inoltre, in termini di costi, la riduzione di CO2 ottenuta è costata circa dieci volte il valore di riferimento sul mercato ETS</w:t>
      </w:r>
      <w:r w:rsidR="00922FC1" w:rsidRPr="0077427C">
        <w:rPr>
          <w:rFonts w:ascii="Times New Roman" w:hAnsi="Times New Roman"/>
          <w:sz w:val="26"/>
          <w:szCs w:val="26"/>
        </w:rPr>
        <w:t xml:space="preserve"> della tonnellata di CO2</w:t>
      </w:r>
      <w:r w:rsidRPr="0077427C">
        <w:rPr>
          <w:rFonts w:ascii="Times New Roman" w:hAnsi="Times New Roman"/>
          <w:sz w:val="26"/>
          <w:szCs w:val="26"/>
        </w:rPr>
        <w:t xml:space="preserve">; ciò anche a causa del fatto che il superbonus ha creato un picco di domanda in un arco temporale troppo ristretto che ha innescato un aumento dei prezzi; per tale motivo per il futuro sono auspicabili incentivi con orizzonti di tempo più lunghi e più stabili per evitare </w:t>
      </w:r>
      <w:r w:rsidRPr="0077427C">
        <w:rPr>
          <w:rFonts w:ascii="Times New Roman" w:hAnsi="Times New Roman"/>
          <w:i/>
          <w:sz w:val="26"/>
          <w:szCs w:val="26"/>
        </w:rPr>
        <w:t>shock</w:t>
      </w:r>
      <w:r w:rsidRPr="0077427C">
        <w:rPr>
          <w:rFonts w:ascii="Times New Roman" w:hAnsi="Times New Roman"/>
          <w:sz w:val="26"/>
          <w:szCs w:val="26"/>
        </w:rPr>
        <w:t xml:space="preserve"> sui prezzi.</w:t>
      </w:r>
    </w:p>
    <w:p w14:paraId="1728C19A" w14:textId="6F4F6854" w:rsidR="009C2AB2" w:rsidRPr="0077427C" w:rsidRDefault="009C2AB2" w:rsidP="009C2AB2">
      <w:pPr>
        <w:rPr>
          <w:rFonts w:ascii="Times New Roman" w:hAnsi="Times New Roman"/>
          <w:sz w:val="26"/>
          <w:szCs w:val="26"/>
        </w:rPr>
      </w:pPr>
      <w:r w:rsidRPr="0077427C">
        <w:rPr>
          <w:rFonts w:ascii="Times New Roman" w:hAnsi="Times New Roman"/>
          <w:sz w:val="26"/>
          <w:szCs w:val="26"/>
        </w:rPr>
        <w:t xml:space="preserve">Un fattore positivo sottolineato dal professor </w:t>
      </w:r>
      <w:proofErr w:type="spellStart"/>
      <w:r w:rsidRPr="0077427C">
        <w:rPr>
          <w:rFonts w:ascii="Times New Roman" w:hAnsi="Times New Roman"/>
          <w:sz w:val="26"/>
          <w:szCs w:val="26"/>
        </w:rPr>
        <w:t>Chiaroni</w:t>
      </w:r>
      <w:proofErr w:type="spellEnd"/>
      <w:r w:rsidRPr="0077427C">
        <w:rPr>
          <w:rFonts w:ascii="Times New Roman" w:hAnsi="Times New Roman"/>
          <w:sz w:val="26"/>
          <w:szCs w:val="26"/>
        </w:rPr>
        <w:t xml:space="preserve"> è che l'80 per cento degli interventi è andato in </w:t>
      </w:r>
      <w:r w:rsidR="00013034" w:rsidRPr="0077427C">
        <w:rPr>
          <w:rFonts w:ascii="Times New Roman" w:hAnsi="Times New Roman"/>
          <w:sz w:val="26"/>
          <w:szCs w:val="26"/>
        </w:rPr>
        <w:t xml:space="preserve">lavori </w:t>
      </w:r>
      <w:r w:rsidRPr="0077427C">
        <w:rPr>
          <w:rFonts w:ascii="Times New Roman" w:hAnsi="Times New Roman"/>
          <w:sz w:val="26"/>
          <w:szCs w:val="26"/>
        </w:rPr>
        <w:t xml:space="preserve">di coibentazione, sostituzione di impianti di climatizzazione, sostituzione degli infissi, ossia su soluzioni </w:t>
      </w:r>
      <w:r w:rsidRPr="0077427C">
        <w:rPr>
          <w:rFonts w:ascii="Times New Roman" w:hAnsi="Times New Roman"/>
          <w:i/>
          <w:sz w:val="26"/>
          <w:szCs w:val="26"/>
        </w:rPr>
        <w:t>capital intensive</w:t>
      </w:r>
      <w:r w:rsidRPr="0077427C">
        <w:rPr>
          <w:rFonts w:ascii="Times New Roman" w:hAnsi="Times New Roman"/>
          <w:sz w:val="26"/>
          <w:szCs w:val="26"/>
        </w:rPr>
        <w:t xml:space="preserve">, tipicamente ad alto tempo di ritorno, che senza un incentivo specifico difficilmente sarebbero state realizzabili. Ciononostante, a suo avviso si è fatto poco per i sistemi di accumulo degli impianti fotovoltaici, per gli altri interventi, tra cui la mobilità, per gli interventi per le colonnine sulla mobilità elettrica, e inoltre sono stati quasi del tutto assenti interventi di </w:t>
      </w:r>
      <w:r w:rsidRPr="0077427C">
        <w:rPr>
          <w:rFonts w:ascii="Times New Roman" w:hAnsi="Times New Roman"/>
          <w:i/>
          <w:sz w:val="26"/>
          <w:szCs w:val="26"/>
        </w:rPr>
        <w:t xml:space="preserve">building </w:t>
      </w:r>
      <w:proofErr w:type="spellStart"/>
      <w:r w:rsidRPr="0077427C">
        <w:rPr>
          <w:rFonts w:ascii="Times New Roman" w:hAnsi="Times New Roman"/>
          <w:i/>
          <w:sz w:val="26"/>
          <w:szCs w:val="26"/>
        </w:rPr>
        <w:t>automation</w:t>
      </w:r>
      <w:proofErr w:type="spellEnd"/>
      <w:r w:rsidRPr="0077427C">
        <w:rPr>
          <w:rFonts w:ascii="Times New Roman" w:hAnsi="Times New Roman"/>
          <w:sz w:val="26"/>
          <w:szCs w:val="26"/>
        </w:rPr>
        <w:t xml:space="preserve"> e abbastanza limitati gli interventi relativi alla generazione distribuita.</w:t>
      </w:r>
    </w:p>
    <w:p w14:paraId="1197EE64" w14:textId="77777777" w:rsidR="009C2AB2" w:rsidRPr="0077427C" w:rsidRDefault="009C2AB2" w:rsidP="009C2AB2">
      <w:pPr>
        <w:rPr>
          <w:rFonts w:ascii="Times New Roman" w:hAnsi="Times New Roman"/>
          <w:sz w:val="26"/>
          <w:szCs w:val="26"/>
        </w:rPr>
      </w:pPr>
    </w:p>
    <w:p w14:paraId="0CA123B6" w14:textId="77777777" w:rsidR="009C2AB2" w:rsidRPr="0077427C" w:rsidRDefault="009C2AB2" w:rsidP="009C2AB2">
      <w:pPr>
        <w:rPr>
          <w:rFonts w:ascii="Times New Roman" w:hAnsi="Times New Roman"/>
          <w:i/>
          <w:sz w:val="26"/>
          <w:szCs w:val="26"/>
        </w:rPr>
      </w:pPr>
      <w:r w:rsidRPr="0077427C">
        <w:rPr>
          <w:rFonts w:ascii="Times New Roman" w:hAnsi="Times New Roman"/>
          <w:b/>
          <w:sz w:val="26"/>
          <w:szCs w:val="26"/>
        </w:rPr>
        <w:t>ECCO – Think tank per il clima</w:t>
      </w:r>
      <w:r w:rsidR="00371480" w:rsidRPr="0077427C">
        <w:rPr>
          <w:rFonts w:ascii="Times New Roman" w:hAnsi="Times New Roman"/>
          <w:i/>
          <w:sz w:val="26"/>
          <w:szCs w:val="26"/>
        </w:rPr>
        <w:t xml:space="preserve"> </w:t>
      </w:r>
    </w:p>
    <w:p w14:paraId="1CE3A522" w14:textId="77777777" w:rsidR="00AF4116" w:rsidRPr="0077427C" w:rsidRDefault="00AF4116" w:rsidP="00AF4116">
      <w:pPr>
        <w:rPr>
          <w:rFonts w:ascii="Times New Roman" w:hAnsi="Times New Roman"/>
          <w:sz w:val="26"/>
          <w:szCs w:val="26"/>
        </w:rPr>
      </w:pPr>
      <w:r w:rsidRPr="0077427C">
        <w:rPr>
          <w:rFonts w:ascii="Times New Roman" w:hAnsi="Times New Roman"/>
          <w:sz w:val="26"/>
          <w:szCs w:val="26"/>
        </w:rPr>
        <w:t xml:space="preserve">Nell’audizione del 10 maggio 2023, è stato innanzitutto rilevato che il parco edilizio italiano è il terzo parco più inefficiente d’Europa dopo Bulgaria e Spagna in cui </w:t>
      </w:r>
      <w:r w:rsidR="00C64D16" w:rsidRPr="0077427C">
        <w:rPr>
          <w:rFonts w:ascii="Times New Roman" w:hAnsi="Times New Roman"/>
          <w:sz w:val="26"/>
          <w:szCs w:val="26"/>
        </w:rPr>
        <w:t>il 70% delle abitazioni ha un livello elevato di inefficienza e di cui soltanto il 14% è stato realizzato prima del 1920.</w:t>
      </w:r>
    </w:p>
    <w:p w14:paraId="6442BCAD" w14:textId="77777777" w:rsidR="009C2AB2" w:rsidRPr="0077427C" w:rsidRDefault="009C2AB2" w:rsidP="009C2AB2">
      <w:pPr>
        <w:rPr>
          <w:rFonts w:ascii="Times New Roman" w:hAnsi="Times New Roman"/>
          <w:sz w:val="26"/>
          <w:szCs w:val="26"/>
        </w:rPr>
      </w:pPr>
      <w:r w:rsidRPr="0077427C">
        <w:rPr>
          <w:rFonts w:ascii="Times New Roman" w:hAnsi="Times New Roman"/>
          <w:sz w:val="26"/>
          <w:szCs w:val="26"/>
        </w:rPr>
        <w:t xml:space="preserve">Secondo ECCO – </w:t>
      </w:r>
      <w:r w:rsidRPr="0077427C">
        <w:rPr>
          <w:rFonts w:ascii="Times New Roman" w:hAnsi="Times New Roman"/>
          <w:i/>
          <w:sz w:val="26"/>
          <w:szCs w:val="26"/>
        </w:rPr>
        <w:t>Think tank</w:t>
      </w:r>
      <w:r w:rsidRPr="0077427C">
        <w:rPr>
          <w:rFonts w:ascii="Times New Roman" w:hAnsi="Times New Roman"/>
          <w:sz w:val="26"/>
          <w:szCs w:val="26"/>
        </w:rPr>
        <w:t xml:space="preserve"> per il clima, </w:t>
      </w:r>
      <w:r w:rsidR="00C64D16" w:rsidRPr="0077427C">
        <w:rPr>
          <w:rFonts w:ascii="Times New Roman" w:hAnsi="Times New Roman"/>
          <w:sz w:val="26"/>
          <w:szCs w:val="26"/>
        </w:rPr>
        <w:t xml:space="preserve">pertanto, </w:t>
      </w:r>
      <w:r w:rsidRPr="0077427C">
        <w:rPr>
          <w:rFonts w:ascii="Times New Roman" w:hAnsi="Times New Roman"/>
          <w:sz w:val="26"/>
          <w:szCs w:val="26"/>
        </w:rPr>
        <w:t xml:space="preserve">in considerazione delle caratteristiche del parco immobiliare italiano, occorre non interrompere per nessun motivo le incentivazioni costruite sul meccanismo fiscale di ristrutturazione edilizia in ottica di efficienza energetica, ma riformarle, anzi possibilmente renderle permanenti. ECCO sottolinea che il nesso tra </w:t>
      </w:r>
      <w:r w:rsidRPr="0077427C">
        <w:rPr>
          <w:rFonts w:ascii="Times New Roman" w:hAnsi="Times New Roman"/>
          <w:i/>
          <w:sz w:val="26"/>
          <w:szCs w:val="26"/>
        </w:rPr>
        <w:t>superbonus</w:t>
      </w:r>
      <w:r w:rsidRPr="0077427C">
        <w:rPr>
          <w:rFonts w:ascii="Times New Roman" w:hAnsi="Times New Roman"/>
          <w:sz w:val="26"/>
          <w:szCs w:val="26"/>
        </w:rPr>
        <w:t xml:space="preserve">, </w:t>
      </w:r>
      <w:r w:rsidRPr="0077427C">
        <w:rPr>
          <w:rFonts w:ascii="Times New Roman" w:hAnsi="Times New Roman"/>
          <w:i/>
          <w:sz w:val="26"/>
          <w:szCs w:val="26"/>
        </w:rPr>
        <w:t>ecobonus</w:t>
      </w:r>
      <w:r w:rsidRPr="0077427C">
        <w:rPr>
          <w:rFonts w:ascii="Times New Roman" w:hAnsi="Times New Roman"/>
          <w:sz w:val="26"/>
          <w:szCs w:val="26"/>
        </w:rPr>
        <w:t xml:space="preserve">, detrazioni fiscali e PNIEC è molto debole e che le detrazioni per l'efficienza energetica delle case non sono considerate uno strumento di implementazione delle politiche di decarbonizzazione. Secondo ECCO occorre un quadro di stabilità (perché per mettere in efficienza il 70 per cento del patrimonio edilizio italiano </w:t>
      </w:r>
      <w:r w:rsidR="00C64D16" w:rsidRPr="0077427C">
        <w:rPr>
          <w:rFonts w:ascii="Times New Roman" w:hAnsi="Times New Roman"/>
          <w:sz w:val="26"/>
          <w:szCs w:val="26"/>
        </w:rPr>
        <w:t>occorreranno</w:t>
      </w:r>
      <w:r w:rsidRPr="0077427C">
        <w:rPr>
          <w:rFonts w:ascii="Times New Roman" w:hAnsi="Times New Roman"/>
          <w:sz w:val="26"/>
          <w:szCs w:val="26"/>
        </w:rPr>
        <w:t xml:space="preserve"> venti o probabilmente anche trent'anni) ed è necessario un processo di elettrificazione, cioè di esclusione dagli incentivi delle tecnologie fossili, incluso il gas naturale, in favore delle pompe di calore. </w:t>
      </w:r>
    </w:p>
    <w:p w14:paraId="6F4D22F2" w14:textId="77777777" w:rsidR="009C2AB2" w:rsidRPr="0077427C" w:rsidRDefault="009C2AB2" w:rsidP="009C2AB2">
      <w:pPr>
        <w:rPr>
          <w:rFonts w:ascii="Times New Roman" w:hAnsi="Times New Roman"/>
          <w:sz w:val="26"/>
          <w:szCs w:val="26"/>
        </w:rPr>
      </w:pPr>
      <w:r w:rsidRPr="0077427C">
        <w:rPr>
          <w:rFonts w:ascii="Times New Roman" w:hAnsi="Times New Roman"/>
          <w:sz w:val="26"/>
          <w:szCs w:val="26"/>
        </w:rPr>
        <w:t xml:space="preserve">Occorre inoltre, nel graduare gli incentivi, passare da criteri, </w:t>
      </w:r>
      <w:r w:rsidR="00C64D16" w:rsidRPr="0077427C">
        <w:rPr>
          <w:rFonts w:ascii="Times New Roman" w:hAnsi="Times New Roman"/>
          <w:sz w:val="26"/>
          <w:szCs w:val="26"/>
        </w:rPr>
        <w:t>cioè</w:t>
      </w:r>
      <w:r w:rsidRPr="0077427C">
        <w:rPr>
          <w:rFonts w:ascii="Times New Roman" w:hAnsi="Times New Roman"/>
          <w:sz w:val="26"/>
          <w:szCs w:val="26"/>
        </w:rPr>
        <w:t xml:space="preserve"> indicatori, non più fondati sull'efficienza energetica ma sull’abbattimento di emissioni ottenuto con l’intervento. Ciò permetterebbe di facilitare l'elettrificazione, nonché di promuovere la penetrazione delle fonti rinnovabili integrate negli edifici, nonché di modificare l'attuale meccanismo di certificazione energetica non più come classe energetica, ma come livello emissivo per metro quadro.</w:t>
      </w:r>
    </w:p>
    <w:p w14:paraId="7D427F8B" w14:textId="77777777" w:rsidR="009C2AB2" w:rsidRPr="0077427C" w:rsidRDefault="009C2AB2" w:rsidP="009C2AB2">
      <w:pPr>
        <w:rPr>
          <w:rFonts w:ascii="Times New Roman" w:hAnsi="Times New Roman"/>
          <w:sz w:val="26"/>
          <w:szCs w:val="26"/>
        </w:rPr>
      </w:pPr>
      <w:r w:rsidRPr="0077427C">
        <w:rPr>
          <w:rFonts w:ascii="Times New Roman" w:hAnsi="Times New Roman"/>
          <w:sz w:val="26"/>
          <w:szCs w:val="26"/>
        </w:rPr>
        <w:t xml:space="preserve">ECCO auspica, in conclusione, una razionalizzazione complessiva degli incentivi, anche per legarli al PNIEC, e una coerenza tra le strutture fiscali e parafiscali della tariffa gas e della tariffa elettrica rispetto a questi obiettivi. </w:t>
      </w:r>
    </w:p>
    <w:p w14:paraId="7B23EB68" w14:textId="77777777" w:rsidR="009C2AB2" w:rsidRPr="0077427C" w:rsidRDefault="009C2AB2" w:rsidP="009C2AB2">
      <w:pPr>
        <w:rPr>
          <w:rFonts w:ascii="Times New Roman" w:hAnsi="Times New Roman"/>
          <w:sz w:val="26"/>
          <w:szCs w:val="26"/>
        </w:rPr>
      </w:pPr>
    </w:p>
    <w:p w14:paraId="2C0AF4FC" w14:textId="77777777" w:rsidR="009C2AB2" w:rsidRPr="0077427C" w:rsidRDefault="009C2AB2" w:rsidP="009C2AB2">
      <w:pPr>
        <w:rPr>
          <w:rFonts w:ascii="Times New Roman" w:hAnsi="Times New Roman"/>
          <w:i/>
          <w:sz w:val="26"/>
          <w:szCs w:val="26"/>
        </w:rPr>
      </w:pPr>
      <w:proofErr w:type="spellStart"/>
      <w:r w:rsidRPr="0077427C">
        <w:rPr>
          <w:rFonts w:ascii="Times New Roman" w:hAnsi="Times New Roman"/>
          <w:b/>
          <w:sz w:val="26"/>
          <w:szCs w:val="26"/>
        </w:rPr>
        <w:t>Federbeton</w:t>
      </w:r>
      <w:proofErr w:type="spellEnd"/>
      <w:r w:rsidR="00371480" w:rsidRPr="0077427C">
        <w:rPr>
          <w:rFonts w:ascii="Times New Roman" w:hAnsi="Times New Roman"/>
          <w:i/>
          <w:sz w:val="26"/>
          <w:szCs w:val="26"/>
        </w:rPr>
        <w:t xml:space="preserve"> </w:t>
      </w:r>
    </w:p>
    <w:p w14:paraId="3B65394B" w14:textId="77777777" w:rsidR="009C2AB2" w:rsidRPr="0077427C" w:rsidRDefault="009C2AB2" w:rsidP="009C2AB2">
      <w:pPr>
        <w:rPr>
          <w:rFonts w:ascii="Times New Roman" w:hAnsi="Times New Roman"/>
          <w:sz w:val="26"/>
          <w:szCs w:val="26"/>
        </w:rPr>
      </w:pPr>
      <w:r w:rsidRPr="0077427C">
        <w:rPr>
          <w:rFonts w:ascii="Times New Roman" w:hAnsi="Times New Roman"/>
          <w:sz w:val="26"/>
          <w:szCs w:val="26"/>
        </w:rPr>
        <w:t xml:space="preserve">Secondo </w:t>
      </w:r>
      <w:proofErr w:type="spellStart"/>
      <w:r w:rsidRPr="0077427C">
        <w:rPr>
          <w:rFonts w:ascii="Times New Roman" w:hAnsi="Times New Roman"/>
          <w:sz w:val="26"/>
          <w:szCs w:val="26"/>
        </w:rPr>
        <w:t>Federbeton</w:t>
      </w:r>
      <w:proofErr w:type="spellEnd"/>
      <w:r w:rsidRPr="0077427C">
        <w:rPr>
          <w:rFonts w:ascii="Times New Roman" w:hAnsi="Times New Roman"/>
          <w:sz w:val="26"/>
          <w:szCs w:val="26"/>
        </w:rPr>
        <w:t>,</w:t>
      </w:r>
      <w:r w:rsidRPr="0077427C">
        <w:rPr>
          <w:rFonts w:ascii="Times New Roman" w:hAnsi="Times New Roman"/>
          <w:b/>
          <w:sz w:val="26"/>
          <w:szCs w:val="26"/>
        </w:rPr>
        <w:t xml:space="preserve"> </w:t>
      </w:r>
      <w:r w:rsidRPr="0077427C">
        <w:rPr>
          <w:rFonts w:ascii="Times New Roman" w:hAnsi="Times New Roman"/>
          <w:sz w:val="26"/>
          <w:szCs w:val="26"/>
        </w:rPr>
        <w:t xml:space="preserve">sarebbe opportuno prevedere un aggiornamento del sistema di incentivazione con il modello del superbonus, che preveda la demolizione e ricostruzione degli edifici con un radicale incremento dell'economia circolare, e con un approccio ecologico finalizzato alla riduzione del consumo di materie prime naturali. Per </w:t>
      </w:r>
      <w:proofErr w:type="spellStart"/>
      <w:r w:rsidRPr="0077427C">
        <w:rPr>
          <w:rFonts w:ascii="Times New Roman" w:hAnsi="Times New Roman"/>
          <w:sz w:val="26"/>
          <w:szCs w:val="26"/>
        </w:rPr>
        <w:t>Federbeton</w:t>
      </w:r>
      <w:proofErr w:type="spellEnd"/>
      <w:r w:rsidRPr="0077427C">
        <w:rPr>
          <w:rFonts w:ascii="Times New Roman" w:hAnsi="Times New Roman"/>
          <w:sz w:val="26"/>
          <w:szCs w:val="26"/>
        </w:rPr>
        <w:t xml:space="preserve">, spesso demolire per poi ricostruire da zero rappresenta l'unico processo in grado di creare oggettivi miglioramenti di un patrimonio vetusto difficilmente </w:t>
      </w:r>
      <w:proofErr w:type="spellStart"/>
      <w:r w:rsidRPr="0077427C">
        <w:rPr>
          <w:rFonts w:ascii="Times New Roman" w:hAnsi="Times New Roman"/>
          <w:sz w:val="26"/>
          <w:szCs w:val="26"/>
        </w:rPr>
        <w:t>efficientabile</w:t>
      </w:r>
      <w:proofErr w:type="spellEnd"/>
      <w:r w:rsidRPr="0077427C">
        <w:rPr>
          <w:rFonts w:ascii="Times New Roman" w:hAnsi="Times New Roman"/>
          <w:sz w:val="26"/>
          <w:szCs w:val="26"/>
        </w:rPr>
        <w:t xml:space="preserve">. Nell’ottica dell’economia circolare, secondo </w:t>
      </w:r>
      <w:proofErr w:type="spellStart"/>
      <w:r w:rsidRPr="0077427C">
        <w:rPr>
          <w:rFonts w:ascii="Times New Roman" w:hAnsi="Times New Roman"/>
          <w:sz w:val="26"/>
          <w:szCs w:val="26"/>
        </w:rPr>
        <w:t>Federbeton</w:t>
      </w:r>
      <w:proofErr w:type="spellEnd"/>
      <w:r w:rsidR="00172D5F" w:rsidRPr="0077427C">
        <w:rPr>
          <w:rFonts w:ascii="Times New Roman" w:hAnsi="Times New Roman"/>
          <w:sz w:val="26"/>
          <w:szCs w:val="26"/>
        </w:rPr>
        <w:t>,</w:t>
      </w:r>
      <w:r w:rsidRPr="0077427C">
        <w:rPr>
          <w:rFonts w:ascii="Times New Roman" w:hAnsi="Times New Roman"/>
          <w:sz w:val="26"/>
          <w:szCs w:val="26"/>
        </w:rPr>
        <w:t xml:space="preserve"> sarebbe necessario puntare sulle demolizioni selettive, in modo da separare i rifiuti per frazioni omogenee, con lo scopo di favorire il riciclo e il riutilizzo dei materiali di un edificio o di un'infrastruttura. Secondo </w:t>
      </w:r>
      <w:proofErr w:type="spellStart"/>
      <w:proofErr w:type="gramStart"/>
      <w:r w:rsidRPr="0077427C">
        <w:rPr>
          <w:rFonts w:ascii="Times New Roman" w:hAnsi="Times New Roman"/>
          <w:sz w:val="26"/>
          <w:szCs w:val="26"/>
        </w:rPr>
        <w:t>Federbeton</w:t>
      </w:r>
      <w:proofErr w:type="spellEnd"/>
      <w:r w:rsidRPr="0077427C">
        <w:rPr>
          <w:rFonts w:ascii="Times New Roman" w:hAnsi="Times New Roman"/>
          <w:sz w:val="26"/>
          <w:szCs w:val="26"/>
        </w:rPr>
        <w:t xml:space="preserve"> inoltre</w:t>
      </w:r>
      <w:proofErr w:type="gramEnd"/>
      <w:r w:rsidRPr="0077427C">
        <w:rPr>
          <w:rFonts w:ascii="Times New Roman" w:hAnsi="Times New Roman"/>
          <w:sz w:val="26"/>
          <w:szCs w:val="26"/>
        </w:rPr>
        <w:t xml:space="preserve">, sarebbe opportuno attivare il prima possibile incentivi fiscali finalizzati ad incrementare il mercato degli aggregati riciclati in sostituzione delle materie prime naturali di cava. </w:t>
      </w:r>
    </w:p>
    <w:p w14:paraId="3553D29B" w14:textId="77777777" w:rsidR="009C2AB2" w:rsidRPr="0077427C" w:rsidRDefault="009C2AB2" w:rsidP="009C2AB2">
      <w:pPr>
        <w:rPr>
          <w:rFonts w:ascii="Times New Roman" w:hAnsi="Times New Roman"/>
          <w:sz w:val="26"/>
          <w:szCs w:val="26"/>
        </w:rPr>
      </w:pPr>
    </w:p>
    <w:p w14:paraId="6BC34E69" w14:textId="77777777" w:rsidR="009C2AB2" w:rsidRPr="0077427C" w:rsidRDefault="009C2AB2" w:rsidP="009C2AB2">
      <w:pPr>
        <w:rPr>
          <w:rFonts w:ascii="Times New Roman" w:hAnsi="Times New Roman"/>
          <w:i/>
          <w:sz w:val="26"/>
          <w:szCs w:val="26"/>
        </w:rPr>
      </w:pPr>
      <w:r w:rsidRPr="0077427C">
        <w:rPr>
          <w:rFonts w:ascii="Times New Roman" w:hAnsi="Times New Roman"/>
          <w:b/>
          <w:sz w:val="26"/>
          <w:szCs w:val="26"/>
        </w:rPr>
        <w:t>Sindacato unitario nazionale inquilini assegnatari (SUNIA)</w:t>
      </w:r>
      <w:r w:rsidR="00371480" w:rsidRPr="0077427C">
        <w:rPr>
          <w:rFonts w:ascii="Times New Roman" w:hAnsi="Times New Roman"/>
          <w:i/>
          <w:sz w:val="26"/>
          <w:szCs w:val="26"/>
        </w:rPr>
        <w:t xml:space="preserve"> </w:t>
      </w:r>
    </w:p>
    <w:p w14:paraId="3EA404A3" w14:textId="77777777" w:rsidR="009C2AB2" w:rsidRPr="0077427C" w:rsidRDefault="009C2AB2" w:rsidP="009C2AB2">
      <w:pPr>
        <w:rPr>
          <w:rFonts w:ascii="Times New Roman" w:hAnsi="Times New Roman"/>
          <w:sz w:val="26"/>
          <w:szCs w:val="26"/>
        </w:rPr>
      </w:pPr>
      <w:r w:rsidRPr="0077427C">
        <w:rPr>
          <w:rFonts w:ascii="Times New Roman" w:hAnsi="Times New Roman"/>
          <w:sz w:val="26"/>
          <w:szCs w:val="26"/>
        </w:rPr>
        <w:t>Il Sindacato unitario nazionale inquilini assegnatari (SUNIA)</w:t>
      </w:r>
      <w:r w:rsidR="007A13D4" w:rsidRPr="0077427C">
        <w:rPr>
          <w:rFonts w:ascii="Times New Roman" w:hAnsi="Times New Roman"/>
          <w:sz w:val="26"/>
          <w:szCs w:val="26"/>
        </w:rPr>
        <w:t>,</w:t>
      </w:r>
      <w:r w:rsidR="007A13D4" w:rsidRPr="0077427C">
        <w:rPr>
          <w:rFonts w:ascii="Times New Roman" w:hAnsi="Times New Roman"/>
          <w:b/>
          <w:sz w:val="26"/>
          <w:szCs w:val="26"/>
        </w:rPr>
        <w:t xml:space="preserve"> </w:t>
      </w:r>
      <w:r w:rsidR="007A13D4" w:rsidRPr="0077427C">
        <w:rPr>
          <w:rFonts w:ascii="Times New Roman" w:hAnsi="Times New Roman"/>
          <w:sz w:val="26"/>
          <w:szCs w:val="26"/>
        </w:rPr>
        <w:t>nell’audizione del 10 maggio 2023,</w:t>
      </w:r>
      <w:r w:rsidRPr="0077427C">
        <w:rPr>
          <w:rFonts w:ascii="Times New Roman" w:hAnsi="Times New Roman"/>
          <w:sz w:val="26"/>
          <w:szCs w:val="26"/>
        </w:rPr>
        <w:t xml:space="preserve"> ha sottolineato la centralità dell'edilizia residenziale pubblica ed anche dell'edilizia residenziale sociale nell’ambito del processo di efficientamento energetico degli edifici anche perché l’inefficienza degli edifici porta a costi maggiori in bolletta per gli assegnatari e gli inquilini.</w:t>
      </w:r>
    </w:p>
    <w:p w14:paraId="3552A9AC" w14:textId="77777777" w:rsidR="009C2AB2" w:rsidRPr="0077427C" w:rsidRDefault="009C2AB2" w:rsidP="009C2AB2">
      <w:pPr>
        <w:rPr>
          <w:rFonts w:ascii="Times New Roman" w:hAnsi="Times New Roman"/>
          <w:sz w:val="26"/>
          <w:szCs w:val="26"/>
        </w:rPr>
      </w:pPr>
    </w:p>
    <w:p w14:paraId="3F43F7C3" w14:textId="77777777" w:rsidR="009C2AB2" w:rsidRPr="0077427C" w:rsidRDefault="009C2AB2" w:rsidP="009C2AB2">
      <w:pPr>
        <w:rPr>
          <w:rFonts w:ascii="Times New Roman" w:hAnsi="Times New Roman"/>
          <w:sz w:val="26"/>
          <w:szCs w:val="26"/>
        </w:rPr>
      </w:pPr>
      <w:r w:rsidRPr="0077427C">
        <w:rPr>
          <w:rFonts w:ascii="Times New Roman" w:hAnsi="Times New Roman"/>
          <w:b/>
          <w:sz w:val="26"/>
          <w:szCs w:val="26"/>
        </w:rPr>
        <w:t>Legambiente</w:t>
      </w:r>
      <w:r w:rsidR="00371480" w:rsidRPr="0077427C">
        <w:rPr>
          <w:rFonts w:ascii="Times New Roman" w:hAnsi="Times New Roman"/>
          <w:b/>
          <w:sz w:val="26"/>
          <w:szCs w:val="26"/>
        </w:rPr>
        <w:t xml:space="preserve"> </w:t>
      </w:r>
    </w:p>
    <w:p w14:paraId="2D84CA3C" w14:textId="77777777" w:rsidR="009C2AB2" w:rsidRPr="0077427C" w:rsidRDefault="009C2AB2" w:rsidP="00D476AE">
      <w:pPr>
        <w:rPr>
          <w:rFonts w:ascii="Times New Roman" w:hAnsi="Times New Roman"/>
          <w:i/>
          <w:sz w:val="26"/>
          <w:szCs w:val="26"/>
        </w:rPr>
      </w:pPr>
      <w:r w:rsidRPr="0077427C">
        <w:rPr>
          <w:rFonts w:ascii="Times New Roman" w:hAnsi="Times New Roman"/>
          <w:sz w:val="26"/>
          <w:szCs w:val="26"/>
        </w:rPr>
        <w:t>Legambiente</w:t>
      </w:r>
      <w:r w:rsidR="00D476AE" w:rsidRPr="0077427C">
        <w:rPr>
          <w:rFonts w:ascii="Times New Roman" w:hAnsi="Times New Roman"/>
          <w:sz w:val="26"/>
          <w:szCs w:val="26"/>
        </w:rPr>
        <w:t>, nell’audizione del 10 maggio 2023</w:t>
      </w:r>
      <w:r w:rsidR="00D476AE" w:rsidRPr="0077427C">
        <w:rPr>
          <w:rFonts w:ascii="Times New Roman" w:hAnsi="Times New Roman"/>
          <w:i/>
          <w:sz w:val="26"/>
          <w:szCs w:val="26"/>
        </w:rPr>
        <w:t>,</w:t>
      </w:r>
      <w:r w:rsidRPr="0077427C">
        <w:rPr>
          <w:rFonts w:ascii="Times New Roman" w:hAnsi="Times New Roman"/>
          <w:sz w:val="26"/>
          <w:szCs w:val="26"/>
        </w:rPr>
        <w:t xml:space="preserve"> ha evidenziato innanzitutto la necessità di una riforma degli incentivi, tenuto conto che nell’attuale sistema sono contemplate sedici voci diverse che agiscono in maniera diversa sulle stesse voci di efficientamento (dai cappotti, agli infissi, alle tecnologie per il riscaldamento), con effetti diversi e decisamente ridotti rispetto al potenziale di tali strumenti in termini di raggiungimento degli obiettivi prima di tutto climatici. </w:t>
      </w:r>
    </w:p>
    <w:p w14:paraId="5A4F23D5" w14:textId="0BECD6CE" w:rsidR="009C2AB2" w:rsidRPr="0077427C" w:rsidRDefault="009C2AB2" w:rsidP="009C2AB2">
      <w:pPr>
        <w:rPr>
          <w:rFonts w:ascii="Times New Roman" w:hAnsi="Times New Roman"/>
          <w:sz w:val="26"/>
          <w:szCs w:val="26"/>
        </w:rPr>
      </w:pPr>
      <w:r w:rsidRPr="0077427C">
        <w:rPr>
          <w:rFonts w:ascii="Times New Roman" w:hAnsi="Times New Roman"/>
          <w:sz w:val="26"/>
          <w:szCs w:val="26"/>
        </w:rPr>
        <w:t xml:space="preserve">Per Legambiente è necessaria una riforma degli incentivi che guardi agli obiettivi ambientali e sociali, che però tenga </w:t>
      </w:r>
      <w:r w:rsidR="00013034" w:rsidRPr="0077427C">
        <w:rPr>
          <w:rFonts w:ascii="Times New Roman" w:hAnsi="Times New Roman"/>
          <w:sz w:val="26"/>
          <w:szCs w:val="26"/>
        </w:rPr>
        <w:t xml:space="preserve">in considerazione </w:t>
      </w:r>
      <w:r w:rsidRPr="0077427C">
        <w:rPr>
          <w:rFonts w:ascii="Times New Roman" w:hAnsi="Times New Roman"/>
          <w:sz w:val="26"/>
          <w:szCs w:val="26"/>
        </w:rPr>
        <w:t xml:space="preserve">alcuni parametri fondamentali. Prima di tutto occorre cercare di incentivare una riqualificazione verso la classe A, puntando sull'isolamento dell'involucro, quindi </w:t>
      </w:r>
      <w:r w:rsidR="00013034" w:rsidRPr="0077427C">
        <w:rPr>
          <w:rFonts w:ascii="Times New Roman" w:hAnsi="Times New Roman"/>
          <w:sz w:val="26"/>
          <w:szCs w:val="26"/>
        </w:rPr>
        <w:t>su</w:t>
      </w:r>
      <w:r w:rsidRPr="0077427C">
        <w:rPr>
          <w:rFonts w:ascii="Times New Roman" w:hAnsi="Times New Roman"/>
          <w:sz w:val="26"/>
          <w:szCs w:val="26"/>
        </w:rPr>
        <w:t>l cappotto termico; occorre inoltre eliminare le caldaie e le tecnologie a gas, puntando su</w:t>
      </w:r>
      <w:r w:rsidR="00013034" w:rsidRPr="0077427C">
        <w:rPr>
          <w:rFonts w:ascii="Times New Roman" w:hAnsi="Times New Roman"/>
          <w:sz w:val="26"/>
          <w:szCs w:val="26"/>
        </w:rPr>
        <w:t>l</w:t>
      </w:r>
      <w:r w:rsidRPr="0077427C">
        <w:rPr>
          <w:rFonts w:ascii="Times New Roman" w:hAnsi="Times New Roman"/>
          <w:sz w:val="26"/>
          <w:szCs w:val="26"/>
        </w:rPr>
        <w:t xml:space="preserve"> solare termico, </w:t>
      </w:r>
      <w:r w:rsidR="00013034" w:rsidRPr="0077427C">
        <w:rPr>
          <w:rFonts w:ascii="Times New Roman" w:hAnsi="Times New Roman"/>
          <w:sz w:val="26"/>
          <w:szCs w:val="26"/>
        </w:rPr>
        <w:t xml:space="preserve">su </w:t>
      </w:r>
      <w:r w:rsidRPr="0077427C">
        <w:rPr>
          <w:rFonts w:ascii="Times New Roman" w:hAnsi="Times New Roman"/>
          <w:sz w:val="26"/>
          <w:szCs w:val="26"/>
        </w:rPr>
        <w:t xml:space="preserve">caldaie a </w:t>
      </w:r>
      <w:r w:rsidRPr="0077427C">
        <w:rPr>
          <w:rFonts w:ascii="Times New Roman" w:hAnsi="Times New Roman"/>
          <w:i/>
          <w:sz w:val="26"/>
          <w:szCs w:val="26"/>
        </w:rPr>
        <w:t>pellet</w:t>
      </w:r>
      <w:r w:rsidRPr="0077427C">
        <w:rPr>
          <w:rFonts w:ascii="Times New Roman" w:hAnsi="Times New Roman"/>
          <w:sz w:val="26"/>
          <w:szCs w:val="26"/>
        </w:rPr>
        <w:t xml:space="preserve"> dove possibile ad alta efficienza, e su pompe di calore ad alta efficienza con fluidi refrigeranti naturali.</w:t>
      </w:r>
    </w:p>
    <w:p w14:paraId="291E7986" w14:textId="77777777" w:rsidR="009C2AB2" w:rsidRPr="0077427C" w:rsidRDefault="009C2AB2" w:rsidP="009C2AB2">
      <w:pPr>
        <w:rPr>
          <w:rFonts w:ascii="Times New Roman" w:hAnsi="Times New Roman"/>
          <w:sz w:val="26"/>
          <w:szCs w:val="26"/>
        </w:rPr>
      </w:pPr>
      <w:r w:rsidRPr="0077427C">
        <w:rPr>
          <w:rFonts w:ascii="Times New Roman" w:hAnsi="Times New Roman"/>
          <w:sz w:val="26"/>
          <w:szCs w:val="26"/>
        </w:rPr>
        <w:t>Altri elementi centrali sono, per Legambiente, la produzione da fonti rinnovabili e l'integrazione del sistema di riscaldamento a fonti rinnovabili, anche per la produzione di acqua calda sanitaria, nonché il tema dell'autoconsumo collettivo e della condivisione dell'energia anche a distanza.</w:t>
      </w:r>
    </w:p>
    <w:p w14:paraId="1128C6AD" w14:textId="77777777" w:rsidR="009C2AB2" w:rsidRPr="0077427C" w:rsidRDefault="009C2AB2" w:rsidP="009C2AB2">
      <w:pPr>
        <w:rPr>
          <w:rFonts w:ascii="Times New Roman" w:hAnsi="Times New Roman"/>
          <w:sz w:val="26"/>
          <w:szCs w:val="26"/>
        </w:rPr>
      </w:pPr>
      <w:r w:rsidRPr="0077427C">
        <w:rPr>
          <w:rFonts w:ascii="Times New Roman" w:hAnsi="Times New Roman"/>
          <w:sz w:val="26"/>
          <w:szCs w:val="26"/>
        </w:rPr>
        <w:t>Legambiente sottolinea poi che il 45 per cento delle famiglie vive in case unifamiliari indipendenti e in villette e quindi vi è l’esigenza di non concentrarsi solo sui condomini.</w:t>
      </w:r>
    </w:p>
    <w:p w14:paraId="645A88C7" w14:textId="77777777" w:rsidR="009C2AB2" w:rsidRPr="0077427C" w:rsidRDefault="009C2AB2" w:rsidP="009C2AB2">
      <w:pPr>
        <w:rPr>
          <w:rFonts w:ascii="Times New Roman" w:hAnsi="Times New Roman"/>
          <w:sz w:val="26"/>
          <w:szCs w:val="26"/>
        </w:rPr>
      </w:pPr>
      <w:r w:rsidRPr="0077427C">
        <w:rPr>
          <w:rFonts w:ascii="Times New Roman" w:hAnsi="Times New Roman"/>
          <w:sz w:val="26"/>
          <w:szCs w:val="26"/>
        </w:rPr>
        <w:t xml:space="preserve">Per evitare </w:t>
      </w:r>
      <w:r w:rsidRPr="0077427C">
        <w:rPr>
          <w:rFonts w:ascii="Times New Roman" w:hAnsi="Times New Roman"/>
          <w:i/>
          <w:sz w:val="26"/>
          <w:szCs w:val="26"/>
        </w:rPr>
        <w:t>shock</w:t>
      </w:r>
      <w:r w:rsidRPr="0077427C">
        <w:rPr>
          <w:rFonts w:ascii="Times New Roman" w:hAnsi="Times New Roman"/>
          <w:sz w:val="26"/>
          <w:szCs w:val="26"/>
        </w:rPr>
        <w:t xml:space="preserve"> nei prezzi come in passato, Legambiente auspica una politica di incentivi che sia strutturale e duratura nel tempo.</w:t>
      </w:r>
    </w:p>
    <w:p w14:paraId="003E2166" w14:textId="11CBEF23" w:rsidR="009C2AB2" w:rsidRPr="0077427C" w:rsidRDefault="009C2AB2" w:rsidP="009C2AB2">
      <w:pPr>
        <w:rPr>
          <w:rFonts w:ascii="Times New Roman" w:hAnsi="Times New Roman"/>
          <w:sz w:val="26"/>
          <w:szCs w:val="26"/>
        </w:rPr>
      </w:pPr>
      <w:r w:rsidRPr="0077427C">
        <w:rPr>
          <w:rFonts w:ascii="Times New Roman" w:hAnsi="Times New Roman"/>
          <w:sz w:val="26"/>
          <w:szCs w:val="26"/>
        </w:rPr>
        <w:t xml:space="preserve">Altro tema fondamentale per Legambiente è quello degli strumenti di accesso agli incentivi per le famiglie, </w:t>
      </w:r>
      <w:r w:rsidR="00013034" w:rsidRPr="0077427C">
        <w:rPr>
          <w:rFonts w:ascii="Times New Roman" w:hAnsi="Times New Roman"/>
          <w:sz w:val="26"/>
          <w:szCs w:val="26"/>
        </w:rPr>
        <w:t xml:space="preserve">al fine di garantire </w:t>
      </w:r>
      <w:r w:rsidRPr="0077427C">
        <w:rPr>
          <w:rFonts w:ascii="Times New Roman" w:hAnsi="Times New Roman"/>
          <w:sz w:val="26"/>
          <w:szCs w:val="26"/>
        </w:rPr>
        <w:t>un effettivo impatto in termini ambientali e climatici degli incentivi stessi.</w:t>
      </w:r>
    </w:p>
    <w:p w14:paraId="6A93F721" w14:textId="77777777" w:rsidR="009C2AB2" w:rsidRPr="0077427C" w:rsidRDefault="009C2AB2" w:rsidP="009C2AB2">
      <w:pPr>
        <w:rPr>
          <w:rFonts w:ascii="Times New Roman" w:hAnsi="Times New Roman"/>
          <w:sz w:val="26"/>
          <w:szCs w:val="26"/>
        </w:rPr>
      </w:pPr>
    </w:p>
    <w:p w14:paraId="497CAC38" w14:textId="77777777" w:rsidR="009C2AB2" w:rsidRPr="0077427C" w:rsidRDefault="009C2AB2" w:rsidP="009C2AB2">
      <w:pPr>
        <w:rPr>
          <w:rFonts w:ascii="Times New Roman" w:hAnsi="Times New Roman"/>
          <w:i/>
          <w:sz w:val="26"/>
          <w:szCs w:val="26"/>
        </w:rPr>
      </w:pPr>
      <w:r w:rsidRPr="0077427C">
        <w:rPr>
          <w:rFonts w:ascii="Times New Roman" w:hAnsi="Times New Roman"/>
          <w:b/>
          <w:sz w:val="26"/>
          <w:szCs w:val="26"/>
        </w:rPr>
        <w:t>Confindustria Assoimmobiliare</w:t>
      </w:r>
      <w:r w:rsidR="00371480" w:rsidRPr="0077427C">
        <w:rPr>
          <w:rFonts w:ascii="Times New Roman" w:hAnsi="Times New Roman"/>
          <w:i/>
          <w:sz w:val="26"/>
          <w:szCs w:val="26"/>
        </w:rPr>
        <w:t xml:space="preserve"> </w:t>
      </w:r>
    </w:p>
    <w:p w14:paraId="4EE7B28A" w14:textId="619FC1A7" w:rsidR="009C2AB2" w:rsidRPr="0077427C" w:rsidRDefault="00666094" w:rsidP="00666094">
      <w:pPr>
        <w:rPr>
          <w:rFonts w:ascii="Times New Roman" w:hAnsi="Times New Roman"/>
          <w:i/>
          <w:sz w:val="26"/>
          <w:szCs w:val="26"/>
        </w:rPr>
      </w:pPr>
      <w:r w:rsidRPr="0077427C">
        <w:rPr>
          <w:rFonts w:ascii="Times New Roman" w:hAnsi="Times New Roman"/>
          <w:sz w:val="26"/>
          <w:szCs w:val="26"/>
        </w:rPr>
        <w:t>Nell’audizione del 10 maggio 2023</w:t>
      </w:r>
      <w:r w:rsidR="009C2AB2" w:rsidRPr="0077427C">
        <w:rPr>
          <w:rFonts w:ascii="Times New Roman" w:hAnsi="Times New Roman"/>
          <w:sz w:val="26"/>
          <w:szCs w:val="26"/>
        </w:rPr>
        <w:t xml:space="preserve">, da un lato, </w:t>
      </w:r>
      <w:r w:rsidRPr="0077427C">
        <w:rPr>
          <w:rFonts w:ascii="Times New Roman" w:hAnsi="Times New Roman"/>
          <w:sz w:val="26"/>
          <w:szCs w:val="26"/>
        </w:rPr>
        <w:t>è stato</w:t>
      </w:r>
      <w:r w:rsidR="009C2AB2" w:rsidRPr="0077427C">
        <w:rPr>
          <w:rFonts w:ascii="Times New Roman" w:hAnsi="Times New Roman"/>
          <w:sz w:val="26"/>
          <w:szCs w:val="26"/>
        </w:rPr>
        <w:t xml:space="preserve"> sottolineato che il sistema dei bonus finora utilizzato non è sostenibile per le politiche pubbliche negli anni a venire, dall’altro </w:t>
      </w:r>
      <w:r w:rsidRPr="0077427C">
        <w:rPr>
          <w:rFonts w:ascii="Times New Roman" w:hAnsi="Times New Roman"/>
          <w:sz w:val="26"/>
          <w:szCs w:val="26"/>
        </w:rPr>
        <w:t>è stato</w:t>
      </w:r>
      <w:r w:rsidR="009C2AB2" w:rsidRPr="0077427C">
        <w:rPr>
          <w:rFonts w:ascii="Times New Roman" w:hAnsi="Times New Roman"/>
          <w:sz w:val="26"/>
          <w:szCs w:val="26"/>
        </w:rPr>
        <w:t xml:space="preserve"> evidenziato che la quantità di edifici che dovranno essere necessariamente riqualificati consta di quasi 15 milioni di edifici, di cui 12 milioni sono residenze che, ancora in una larghissima parte, ben superiore al 50 per cento, ricadono nelle due peggiori classi energetiche, F e G. Il percorso di efficientamento, per Confindustria Assoimmobiliare, richiederà venti o trent'anni</w:t>
      </w:r>
      <w:r w:rsidRPr="0077427C">
        <w:rPr>
          <w:rFonts w:ascii="Times New Roman" w:hAnsi="Times New Roman"/>
          <w:sz w:val="26"/>
          <w:szCs w:val="26"/>
        </w:rPr>
        <w:t xml:space="preserve"> e, pertanto, l’insieme delle politiche dovrà essere articolato e tenere conto delle diverse tipologie di proprietari di edifici e della tutela di differenti esigenze.</w:t>
      </w:r>
      <w:r w:rsidR="009C2AB2" w:rsidRPr="0077427C">
        <w:rPr>
          <w:rFonts w:ascii="Times New Roman" w:hAnsi="Times New Roman"/>
          <w:sz w:val="26"/>
          <w:szCs w:val="26"/>
        </w:rPr>
        <w:t xml:space="preserve"> Occorrono quindi politiche sostenibili in un periodo medio lungo e che però, necessariamente, devono partire subito. </w:t>
      </w:r>
    </w:p>
    <w:p w14:paraId="29B93BF0" w14:textId="77777777" w:rsidR="009C2AB2" w:rsidRPr="0077427C" w:rsidRDefault="009C2AB2" w:rsidP="009C2AB2">
      <w:pPr>
        <w:rPr>
          <w:rFonts w:ascii="Times New Roman" w:hAnsi="Times New Roman"/>
          <w:sz w:val="26"/>
          <w:szCs w:val="26"/>
        </w:rPr>
      </w:pPr>
      <w:r w:rsidRPr="0077427C">
        <w:rPr>
          <w:rFonts w:ascii="Times New Roman" w:hAnsi="Times New Roman"/>
          <w:sz w:val="26"/>
          <w:szCs w:val="26"/>
        </w:rPr>
        <w:t>Confindustria Assoimmobiliare ritiene che “i provvedimenti a fondo perduto” debbano essere riservati a quelle fasce di popolazione che non sarebbero diversamente in grado di affrontare i costi per la riqualificazione energetica delle proprie case. Per le altre famiglie si può attivare un meccanismo del tipo di quello che è stato pensato per le imprese, cioè un fondo di garanzia a fronte del quale il sistema bancario renda più semplice l'accesso e riduca i costi.</w:t>
      </w:r>
    </w:p>
    <w:p w14:paraId="423D3DEE" w14:textId="77777777" w:rsidR="009C2AB2" w:rsidRPr="0077427C" w:rsidRDefault="009C2AB2" w:rsidP="009C2AB2">
      <w:pPr>
        <w:rPr>
          <w:rFonts w:ascii="Times New Roman" w:hAnsi="Times New Roman"/>
          <w:sz w:val="26"/>
          <w:szCs w:val="26"/>
        </w:rPr>
      </w:pPr>
      <w:r w:rsidRPr="0077427C">
        <w:rPr>
          <w:rFonts w:ascii="Times New Roman" w:hAnsi="Times New Roman"/>
          <w:sz w:val="26"/>
          <w:szCs w:val="26"/>
        </w:rPr>
        <w:t xml:space="preserve">Per tutti gli immobili che non sono di proprietà delle famiglie, ma di soggetti istituzionali, secondo Confindustria Assoimmobiliare non è assolutamente necessario avere degli incentivi molto costosi. </w:t>
      </w:r>
    </w:p>
    <w:p w14:paraId="427DA1D6" w14:textId="77777777" w:rsidR="009C2AB2" w:rsidRPr="0077427C" w:rsidRDefault="009C2AB2" w:rsidP="009C2AB2">
      <w:pPr>
        <w:rPr>
          <w:rFonts w:ascii="Times New Roman" w:hAnsi="Times New Roman"/>
          <w:sz w:val="26"/>
          <w:szCs w:val="26"/>
        </w:rPr>
      </w:pPr>
      <w:r w:rsidRPr="0077427C">
        <w:rPr>
          <w:rFonts w:ascii="Times New Roman" w:hAnsi="Times New Roman"/>
          <w:sz w:val="26"/>
          <w:szCs w:val="26"/>
        </w:rPr>
        <w:t xml:space="preserve">Confindustria Assoimmobiliare ha sottolineato infine che nel </w:t>
      </w:r>
      <w:r w:rsidRPr="0077427C">
        <w:rPr>
          <w:rFonts w:ascii="Times New Roman" w:hAnsi="Times New Roman"/>
          <w:i/>
          <w:sz w:val="26"/>
          <w:szCs w:val="26"/>
        </w:rPr>
        <w:t>mix</w:t>
      </w:r>
      <w:r w:rsidRPr="0077427C">
        <w:rPr>
          <w:rFonts w:ascii="Times New Roman" w:hAnsi="Times New Roman"/>
          <w:sz w:val="26"/>
          <w:szCs w:val="26"/>
        </w:rPr>
        <w:t xml:space="preserve"> delle politiche possibili vi è anche la soluzione di puntare alla demolizione delle costruzioni in aree di rigenerazione urbana o di edifici vetusti, dove non ha senso intervenire sull'immobile esistente, creando “edifici polmone” per consentire alle famiglie di avere abitazioni nuove dove trasferirsi e nel contempo demolire e ricostruire quelle costruite con tecniche superate</w:t>
      </w:r>
      <w:r w:rsidR="00CC5F90" w:rsidRPr="0077427C">
        <w:rPr>
          <w:rFonts w:ascii="Times New Roman" w:hAnsi="Times New Roman"/>
          <w:sz w:val="26"/>
          <w:szCs w:val="26"/>
        </w:rPr>
        <w:t xml:space="preserve"> (negli anni Cinquanta, Sessanta, Settanta) </w:t>
      </w:r>
      <w:r w:rsidRPr="0077427C">
        <w:rPr>
          <w:rFonts w:ascii="Times New Roman" w:hAnsi="Times New Roman"/>
          <w:sz w:val="26"/>
          <w:szCs w:val="26"/>
        </w:rPr>
        <w:t>e che oggi non ha nessun senso riqualificare.</w:t>
      </w:r>
    </w:p>
    <w:p w14:paraId="68B6686E" w14:textId="77777777" w:rsidR="009C2AB2" w:rsidRPr="0077427C" w:rsidRDefault="009C2AB2" w:rsidP="009C2AB2">
      <w:pPr>
        <w:ind w:firstLine="0"/>
        <w:rPr>
          <w:rFonts w:ascii="Times New Roman" w:hAnsi="Times New Roman"/>
          <w:sz w:val="26"/>
          <w:szCs w:val="26"/>
        </w:rPr>
      </w:pPr>
    </w:p>
    <w:p w14:paraId="38D12E0F" w14:textId="77777777" w:rsidR="009C2AB2" w:rsidRPr="0077427C" w:rsidRDefault="009C2AB2" w:rsidP="009C2AB2">
      <w:pPr>
        <w:rPr>
          <w:rFonts w:ascii="Times New Roman" w:hAnsi="Times New Roman"/>
          <w:sz w:val="26"/>
          <w:szCs w:val="26"/>
        </w:rPr>
      </w:pPr>
      <w:r w:rsidRPr="0077427C">
        <w:rPr>
          <w:rFonts w:ascii="Times New Roman" w:hAnsi="Times New Roman"/>
          <w:b/>
          <w:sz w:val="26"/>
          <w:szCs w:val="26"/>
        </w:rPr>
        <w:t>FINCO</w:t>
      </w:r>
      <w:r w:rsidR="00371480" w:rsidRPr="0077427C">
        <w:rPr>
          <w:rFonts w:ascii="Times New Roman" w:hAnsi="Times New Roman"/>
          <w:sz w:val="26"/>
          <w:szCs w:val="26"/>
        </w:rPr>
        <w:t xml:space="preserve"> </w:t>
      </w:r>
    </w:p>
    <w:p w14:paraId="4BE0D715" w14:textId="4C3274D1" w:rsidR="009C2AB2" w:rsidRPr="0077427C" w:rsidRDefault="00D02832" w:rsidP="009C2AB2">
      <w:pPr>
        <w:rPr>
          <w:rFonts w:ascii="Times New Roman" w:hAnsi="Times New Roman"/>
          <w:sz w:val="26"/>
          <w:szCs w:val="26"/>
        </w:rPr>
      </w:pPr>
      <w:r w:rsidRPr="0077427C">
        <w:rPr>
          <w:rFonts w:ascii="Times New Roman" w:hAnsi="Times New Roman"/>
          <w:sz w:val="26"/>
          <w:szCs w:val="26"/>
        </w:rPr>
        <w:t xml:space="preserve">I rappresentanti di </w:t>
      </w:r>
      <w:r w:rsidR="009C2AB2" w:rsidRPr="0077427C">
        <w:rPr>
          <w:rFonts w:ascii="Times New Roman" w:hAnsi="Times New Roman"/>
          <w:sz w:val="26"/>
          <w:szCs w:val="26"/>
        </w:rPr>
        <w:t>FINCO ha</w:t>
      </w:r>
      <w:r w:rsidRPr="0077427C">
        <w:rPr>
          <w:rFonts w:ascii="Times New Roman" w:hAnsi="Times New Roman"/>
          <w:sz w:val="26"/>
          <w:szCs w:val="26"/>
        </w:rPr>
        <w:t>nno</w:t>
      </w:r>
      <w:r w:rsidR="009C2AB2" w:rsidRPr="0077427C">
        <w:rPr>
          <w:rFonts w:ascii="Times New Roman" w:hAnsi="Times New Roman"/>
          <w:sz w:val="26"/>
          <w:szCs w:val="26"/>
        </w:rPr>
        <w:t xml:space="preserve"> sottolineato l’opportunità di stabilizzare gli incentivi che tuttavia devono essere rivisti e semplificati. In particolare,</w:t>
      </w:r>
      <w:r w:rsidR="004E507E" w:rsidRPr="0077427C">
        <w:rPr>
          <w:rFonts w:ascii="Times New Roman" w:hAnsi="Times New Roman"/>
          <w:sz w:val="26"/>
          <w:szCs w:val="26"/>
        </w:rPr>
        <w:t xml:space="preserve"> è stata rilevata l’</w:t>
      </w:r>
      <w:r w:rsidR="009C2AB2" w:rsidRPr="0077427C">
        <w:rPr>
          <w:rFonts w:ascii="Times New Roman" w:hAnsi="Times New Roman"/>
          <w:sz w:val="26"/>
          <w:szCs w:val="26"/>
        </w:rPr>
        <w:t>opportun</w:t>
      </w:r>
      <w:r w:rsidR="004E507E" w:rsidRPr="0077427C">
        <w:rPr>
          <w:rFonts w:ascii="Times New Roman" w:hAnsi="Times New Roman"/>
          <w:sz w:val="26"/>
          <w:szCs w:val="26"/>
        </w:rPr>
        <w:t>ità di</w:t>
      </w:r>
      <w:r w:rsidR="009C2AB2" w:rsidRPr="0077427C">
        <w:rPr>
          <w:rFonts w:ascii="Times New Roman" w:hAnsi="Times New Roman"/>
          <w:sz w:val="26"/>
          <w:szCs w:val="26"/>
        </w:rPr>
        <w:t xml:space="preserve"> mantenere incentivi per l’efficientamento energetico e la messa in sicurezza antisismica, rendere facilmente </w:t>
      </w:r>
      <w:r w:rsidR="004E507E" w:rsidRPr="0077427C">
        <w:rPr>
          <w:rFonts w:ascii="Times New Roman" w:hAnsi="Times New Roman"/>
          <w:sz w:val="26"/>
          <w:szCs w:val="26"/>
        </w:rPr>
        <w:t>“pratica</w:t>
      </w:r>
      <w:r w:rsidR="009C2AB2" w:rsidRPr="0077427C">
        <w:rPr>
          <w:rFonts w:ascii="Times New Roman" w:hAnsi="Times New Roman"/>
          <w:sz w:val="26"/>
          <w:szCs w:val="26"/>
        </w:rPr>
        <w:t>bili</w:t>
      </w:r>
      <w:r w:rsidR="004E507E" w:rsidRPr="0077427C">
        <w:rPr>
          <w:rFonts w:ascii="Times New Roman" w:hAnsi="Times New Roman"/>
          <w:sz w:val="26"/>
          <w:szCs w:val="26"/>
        </w:rPr>
        <w:t>”</w:t>
      </w:r>
      <w:r w:rsidR="009C2AB2" w:rsidRPr="0077427C">
        <w:rPr>
          <w:rFonts w:ascii="Times New Roman" w:hAnsi="Times New Roman"/>
          <w:sz w:val="26"/>
          <w:szCs w:val="26"/>
        </w:rPr>
        <w:t xml:space="preserve"> le detrazioni</w:t>
      </w:r>
      <w:r w:rsidR="004E507E" w:rsidRPr="0077427C">
        <w:rPr>
          <w:rFonts w:ascii="Times New Roman" w:hAnsi="Times New Roman"/>
          <w:sz w:val="26"/>
          <w:szCs w:val="26"/>
        </w:rPr>
        <w:t xml:space="preserve"> per </w:t>
      </w:r>
      <w:r w:rsidR="009C2AB2" w:rsidRPr="0077427C">
        <w:rPr>
          <w:rFonts w:ascii="Times New Roman" w:hAnsi="Times New Roman"/>
          <w:sz w:val="26"/>
          <w:szCs w:val="26"/>
        </w:rPr>
        <w:t>la più ampia platea di contribuenti e sostenibili anche dai cittadini con redditi medi e bassi, e configurare tali interventi in modo economicamente sostenibile per lo Stato. Sulla tematica dell’</w:t>
      </w:r>
      <w:r w:rsidR="009C2AB2" w:rsidRPr="0077427C">
        <w:rPr>
          <w:rFonts w:ascii="Times New Roman" w:hAnsi="Times New Roman"/>
          <w:i/>
          <w:sz w:val="26"/>
          <w:szCs w:val="26"/>
        </w:rPr>
        <w:t>ecobonus</w:t>
      </w:r>
      <w:r w:rsidRPr="0077427C">
        <w:rPr>
          <w:rFonts w:ascii="Times New Roman" w:hAnsi="Times New Roman"/>
          <w:sz w:val="26"/>
          <w:szCs w:val="26"/>
        </w:rPr>
        <w:t xml:space="preserve">, secondo quanto risulta anche dal documento depositato nell’audizione del 17 maggio 2023, si </w:t>
      </w:r>
      <w:r w:rsidR="009C2AB2" w:rsidRPr="0077427C">
        <w:rPr>
          <w:rFonts w:ascii="Times New Roman" w:hAnsi="Times New Roman"/>
          <w:sz w:val="26"/>
          <w:szCs w:val="26"/>
        </w:rPr>
        <w:t>propone</w:t>
      </w:r>
      <w:r w:rsidRPr="0077427C">
        <w:rPr>
          <w:rFonts w:ascii="Times New Roman" w:hAnsi="Times New Roman"/>
          <w:sz w:val="26"/>
          <w:szCs w:val="26"/>
        </w:rPr>
        <w:t>:</w:t>
      </w:r>
      <w:r w:rsidR="009C2AB2" w:rsidRPr="0077427C">
        <w:rPr>
          <w:rFonts w:ascii="Times New Roman" w:hAnsi="Times New Roman"/>
          <w:sz w:val="26"/>
          <w:szCs w:val="26"/>
        </w:rPr>
        <w:t xml:space="preserve"> </w:t>
      </w:r>
      <w:r w:rsidRPr="0077427C">
        <w:rPr>
          <w:rFonts w:ascii="Times New Roman" w:hAnsi="Times New Roman"/>
          <w:sz w:val="26"/>
          <w:szCs w:val="26"/>
        </w:rPr>
        <w:t xml:space="preserve">a) l’individuazione di </w:t>
      </w:r>
      <w:r w:rsidR="009C2AB2" w:rsidRPr="0077427C">
        <w:rPr>
          <w:rFonts w:ascii="Times New Roman" w:hAnsi="Times New Roman"/>
          <w:sz w:val="26"/>
          <w:szCs w:val="26"/>
        </w:rPr>
        <w:t xml:space="preserve">un metodo di fruizione da parte dei cittadini con redditi medio-bassi che sia più praticabile dell’attuale modalità la quale prevede le detrazioni fiscali </w:t>
      </w:r>
      <w:r w:rsidR="00013034" w:rsidRPr="0077427C">
        <w:rPr>
          <w:rFonts w:ascii="Times New Roman" w:hAnsi="Times New Roman"/>
          <w:sz w:val="26"/>
          <w:szCs w:val="26"/>
        </w:rPr>
        <w:t xml:space="preserve">siano distribuite </w:t>
      </w:r>
      <w:r w:rsidR="009C2AB2" w:rsidRPr="0077427C">
        <w:rPr>
          <w:rFonts w:ascii="Times New Roman" w:hAnsi="Times New Roman"/>
          <w:sz w:val="26"/>
          <w:szCs w:val="26"/>
        </w:rPr>
        <w:t xml:space="preserve">in 10 annualità; </w:t>
      </w:r>
      <w:r w:rsidRPr="0077427C">
        <w:rPr>
          <w:rFonts w:ascii="Times New Roman" w:hAnsi="Times New Roman"/>
          <w:sz w:val="26"/>
          <w:szCs w:val="26"/>
        </w:rPr>
        <w:t>b) l’estensione de</w:t>
      </w:r>
      <w:r w:rsidR="009C2AB2" w:rsidRPr="0077427C">
        <w:rPr>
          <w:rFonts w:ascii="Times New Roman" w:hAnsi="Times New Roman"/>
          <w:sz w:val="26"/>
          <w:szCs w:val="26"/>
        </w:rPr>
        <w:t>gli interventi di riqualificazione energetica disciplinati dal D.L. n. 63 del 2013 per un orizzonte temporale coer</w:t>
      </w:r>
      <w:r w:rsidR="00373B67" w:rsidRPr="0077427C">
        <w:rPr>
          <w:rFonts w:ascii="Times New Roman" w:hAnsi="Times New Roman"/>
          <w:sz w:val="26"/>
          <w:szCs w:val="26"/>
        </w:rPr>
        <w:t>ente con la direttiva europea “c</w:t>
      </w:r>
      <w:r w:rsidR="009C2AB2" w:rsidRPr="0077427C">
        <w:rPr>
          <w:rFonts w:ascii="Times New Roman" w:hAnsi="Times New Roman"/>
          <w:sz w:val="26"/>
          <w:szCs w:val="26"/>
        </w:rPr>
        <w:t xml:space="preserve">ase </w:t>
      </w:r>
      <w:r w:rsidR="00373B67" w:rsidRPr="0077427C">
        <w:rPr>
          <w:rFonts w:ascii="Times New Roman" w:hAnsi="Times New Roman"/>
          <w:i/>
          <w:sz w:val="26"/>
          <w:szCs w:val="26"/>
        </w:rPr>
        <w:t>green</w:t>
      </w:r>
      <w:r w:rsidR="009C2AB2" w:rsidRPr="0077427C">
        <w:rPr>
          <w:rFonts w:ascii="Times New Roman" w:hAnsi="Times New Roman"/>
          <w:sz w:val="26"/>
          <w:szCs w:val="26"/>
        </w:rPr>
        <w:t>” e quindi almeno fino al 2033.</w:t>
      </w:r>
    </w:p>
    <w:p w14:paraId="0BA80E1C" w14:textId="77777777" w:rsidR="009C2AB2" w:rsidRPr="0077427C" w:rsidRDefault="009C2AB2" w:rsidP="009C2AB2">
      <w:pPr>
        <w:rPr>
          <w:rFonts w:ascii="Times New Roman" w:hAnsi="Times New Roman"/>
          <w:sz w:val="26"/>
          <w:szCs w:val="26"/>
        </w:rPr>
      </w:pPr>
    </w:p>
    <w:p w14:paraId="4931F49B" w14:textId="77777777" w:rsidR="009C2AB2" w:rsidRPr="0077427C" w:rsidRDefault="009C2AB2" w:rsidP="009C2AB2">
      <w:pPr>
        <w:rPr>
          <w:rFonts w:ascii="Times New Roman" w:hAnsi="Times New Roman"/>
          <w:i/>
          <w:sz w:val="26"/>
          <w:szCs w:val="26"/>
        </w:rPr>
      </w:pPr>
      <w:r w:rsidRPr="0077427C">
        <w:rPr>
          <w:rFonts w:ascii="Times New Roman" w:hAnsi="Times New Roman"/>
          <w:b/>
          <w:sz w:val="26"/>
          <w:szCs w:val="26"/>
        </w:rPr>
        <w:t>Rete Professioni Tecniche</w:t>
      </w:r>
      <w:r w:rsidR="00371480" w:rsidRPr="0077427C">
        <w:rPr>
          <w:rFonts w:ascii="Times New Roman" w:hAnsi="Times New Roman"/>
          <w:i/>
          <w:sz w:val="26"/>
          <w:szCs w:val="26"/>
        </w:rPr>
        <w:t xml:space="preserve"> </w:t>
      </w:r>
    </w:p>
    <w:p w14:paraId="1C81AD23" w14:textId="77777777" w:rsidR="004E3694" w:rsidRPr="0077427C" w:rsidRDefault="009C2AB2" w:rsidP="009C2AB2">
      <w:pPr>
        <w:rPr>
          <w:rFonts w:ascii="Times New Roman" w:hAnsi="Times New Roman"/>
          <w:sz w:val="26"/>
          <w:szCs w:val="26"/>
        </w:rPr>
      </w:pPr>
      <w:r w:rsidRPr="0077427C">
        <w:rPr>
          <w:rFonts w:ascii="Times New Roman" w:hAnsi="Times New Roman"/>
          <w:sz w:val="26"/>
          <w:szCs w:val="26"/>
        </w:rPr>
        <w:t>Rete Professioni Tecniche</w:t>
      </w:r>
      <w:r w:rsidR="004E3694" w:rsidRPr="0077427C">
        <w:rPr>
          <w:rFonts w:ascii="Times New Roman" w:hAnsi="Times New Roman"/>
          <w:sz w:val="26"/>
          <w:szCs w:val="26"/>
        </w:rPr>
        <w:t>, nell’audizione del 17 maggio 2023,</w:t>
      </w:r>
      <w:r w:rsidRPr="0077427C">
        <w:rPr>
          <w:rFonts w:ascii="Times New Roman" w:hAnsi="Times New Roman"/>
          <w:sz w:val="26"/>
          <w:szCs w:val="26"/>
        </w:rPr>
        <w:t xml:space="preserve"> ritiene opportuna l’istituzione di un tavolo tecnico (con professioni</w:t>
      </w:r>
      <w:r w:rsidR="004E3694" w:rsidRPr="0077427C">
        <w:rPr>
          <w:rFonts w:ascii="Times New Roman" w:hAnsi="Times New Roman"/>
          <w:sz w:val="26"/>
          <w:szCs w:val="26"/>
        </w:rPr>
        <w:t>sti</w:t>
      </w:r>
      <w:r w:rsidRPr="0077427C">
        <w:rPr>
          <w:rFonts w:ascii="Times New Roman" w:hAnsi="Times New Roman"/>
          <w:sz w:val="26"/>
          <w:szCs w:val="26"/>
        </w:rPr>
        <w:t>, università, e altri soggetti</w:t>
      </w:r>
      <w:r w:rsidR="004E3694" w:rsidRPr="0077427C">
        <w:rPr>
          <w:rFonts w:ascii="Times New Roman" w:hAnsi="Times New Roman"/>
          <w:sz w:val="26"/>
          <w:szCs w:val="26"/>
        </w:rPr>
        <w:t xml:space="preserve"> che si occupano della produzione di materiali e tecnologie per il risparmio energetico</w:t>
      </w:r>
      <w:r w:rsidRPr="0077427C">
        <w:rPr>
          <w:rFonts w:ascii="Times New Roman" w:hAnsi="Times New Roman"/>
          <w:sz w:val="26"/>
          <w:szCs w:val="26"/>
        </w:rPr>
        <w:t xml:space="preserve">) </w:t>
      </w:r>
      <w:r w:rsidR="004E3694" w:rsidRPr="0077427C">
        <w:rPr>
          <w:rFonts w:ascii="Times New Roman" w:hAnsi="Times New Roman"/>
          <w:sz w:val="26"/>
          <w:szCs w:val="26"/>
        </w:rPr>
        <w:t>nella prospettiva dell’aggiornamento delle normative concernenti sia il fronte della ristrutturazione degli edifici relativamente al risparmio energetico</w:t>
      </w:r>
      <w:r w:rsidR="0022063D" w:rsidRPr="0077427C">
        <w:rPr>
          <w:rFonts w:ascii="Times New Roman" w:hAnsi="Times New Roman"/>
          <w:sz w:val="26"/>
          <w:szCs w:val="26"/>
        </w:rPr>
        <w:t>,</w:t>
      </w:r>
      <w:r w:rsidR="004E3694" w:rsidRPr="0077427C">
        <w:rPr>
          <w:rFonts w:ascii="Times New Roman" w:hAnsi="Times New Roman"/>
          <w:sz w:val="26"/>
          <w:szCs w:val="26"/>
        </w:rPr>
        <w:t xml:space="preserve"> sia gli aspetti sismici per la definizione di una loro classificazione. A tale riguardo, è stata ricordata la trasmissione di un piano di prevenzione sismica al Ministro della protezione civile</w:t>
      </w:r>
      <w:r w:rsidR="0022063D" w:rsidRPr="0077427C">
        <w:rPr>
          <w:rFonts w:ascii="Times New Roman" w:hAnsi="Times New Roman"/>
          <w:sz w:val="26"/>
          <w:szCs w:val="26"/>
        </w:rPr>
        <w:t>,</w:t>
      </w:r>
      <w:r w:rsidR="004E3694" w:rsidRPr="0077427C">
        <w:rPr>
          <w:rFonts w:ascii="Times New Roman" w:hAnsi="Times New Roman"/>
          <w:sz w:val="26"/>
          <w:szCs w:val="26"/>
        </w:rPr>
        <w:t xml:space="preserve"> che si articola in alcuni punti, tra cui il fascicolo del fabbricato in cui il miglioramento della classificazione sismica dovrebbe essere un punto fondamentale.  </w:t>
      </w:r>
    </w:p>
    <w:p w14:paraId="35DBCE7D" w14:textId="782A1E80" w:rsidR="009C2AB2" w:rsidRPr="0077427C" w:rsidRDefault="004E3694" w:rsidP="004A0D9C">
      <w:pPr>
        <w:rPr>
          <w:rFonts w:ascii="Times New Roman" w:hAnsi="Times New Roman"/>
          <w:sz w:val="26"/>
          <w:szCs w:val="26"/>
        </w:rPr>
      </w:pPr>
      <w:r w:rsidRPr="0077427C">
        <w:rPr>
          <w:rFonts w:ascii="Times New Roman" w:hAnsi="Times New Roman"/>
          <w:sz w:val="26"/>
          <w:szCs w:val="26"/>
        </w:rPr>
        <w:t xml:space="preserve">Nel corso dell’audizione, </w:t>
      </w:r>
      <w:r w:rsidR="005947D6" w:rsidRPr="0077427C">
        <w:rPr>
          <w:rFonts w:ascii="Times New Roman" w:hAnsi="Times New Roman"/>
          <w:sz w:val="26"/>
          <w:szCs w:val="26"/>
        </w:rPr>
        <w:t xml:space="preserve">nell’auspicare un orizzonte di lungo periodo per gli incentivi fiscali, </w:t>
      </w:r>
      <w:r w:rsidRPr="0077427C">
        <w:rPr>
          <w:rFonts w:ascii="Times New Roman" w:hAnsi="Times New Roman"/>
          <w:sz w:val="26"/>
          <w:szCs w:val="26"/>
        </w:rPr>
        <w:t xml:space="preserve">è stata </w:t>
      </w:r>
      <w:r w:rsidR="002B2163" w:rsidRPr="0077427C">
        <w:rPr>
          <w:rFonts w:ascii="Times New Roman" w:hAnsi="Times New Roman"/>
          <w:sz w:val="26"/>
          <w:szCs w:val="26"/>
        </w:rPr>
        <w:t xml:space="preserve">avanzata una </w:t>
      </w:r>
      <w:r w:rsidRPr="0077427C">
        <w:rPr>
          <w:rFonts w:ascii="Times New Roman" w:hAnsi="Times New Roman"/>
          <w:sz w:val="26"/>
          <w:szCs w:val="26"/>
        </w:rPr>
        <w:t xml:space="preserve">proposta </w:t>
      </w:r>
      <w:r w:rsidR="002B2163" w:rsidRPr="0077427C">
        <w:rPr>
          <w:rFonts w:ascii="Times New Roman" w:hAnsi="Times New Roman"/>
          <w:sz w:val="26"/>
          <w:szCs w:val="26"/>
        </w:rPr>
        <w:t>di</w:t>
      </w:r>
      <w:r w:rsidRPr="0077427C">
        <w:rPr>
          <w:rFonts w:ascii="Times New Roman" w:hAnsi="Times New Roman"/>
          <w:sz w:val="26"/>
          <w:szCs w:val="26"/>
        </w:rPr>
        <w:t xml:space="preserve"> rimodulazione dei meccanismi di finanziamento delle opere di ristrutturazione profonda</w:t>
      </w:r>
      <w:r w:rsidR="004A0D9C" w:rsidRPr="0077427C">
        <w:rPr>
          <w:rFonts w:ascii="Times New Roman" w:hAnsi="Times New Roman"/>
          <w:sz w:val="26"/>
          <w:szCs w:val="26"/>
        </w:rPr>
        <w:t xml:space="preserve">, </w:t>
      </w:r>
      <w:r w:rsidRPr="0077427C">
        <w:rPr>
          <w:rFonts w:ascii="Times New Roman" w:hAnsi="Times New Roman"/>
          <w:sz w:val="26"/>
          <w:szCs w:val="26"/>
        </w:rPr>
        <w:t xml:space="preserve">nella quale una quota parte delle spese sarebbe finanziata con le detrazioni fiscali e </w:t>
      </w:r>
      <w:r w:rsidR="004A0D9C" w:rsidRPr="0077427C">
        <w:rPr>
          <w:rFonts w:ascii="Times New Roman" w:hAnsi="Times New Roman"/>
          <w:sz w:val="26"/>
          <w:szCs w:val="26"/>
        </w:rPr>
        <w:t>la parte restante con mutui di venti/trenta anni. Tale meccanismo</w:t>
      </w:r>
      <w:r w:rsidR="001B2B3E" w:rsidRPr="0077427C">
        <w:rPr>
          <w:rFonts w:ascii="Times New Roman" w:hAnsi="Times New Roman"/>
          <w:sz w:val="26"/>
          <w:szCs w:val="26"/>
        </w:rPr>
        <w:t xml:space="preserve"> potrebbe avere carattere perman</w:t>
      </w:r>
      <w:r w:rsidR="004A0D9C" w:rsidRPr="0077427C">
        <w:rPr>
          <w:rFonts w:ascii="Times New Roman" w:hAnsi="Times New Roman"/>
          <w:sz w:val="26"/>
          <w:szCs w:val="26"/>
        </w:rPr>
        <w:t xml:space="preserve">ente e consentirebbe di intervenire in modo organico per la messa in sicurezza degli edifici e il loro risparmio energetico. Sarebbe </w:t>
      </w:r>
      <w:r w:rsidR="009C2AB2" w:rsidRPr="0077427C">
        <w:rPr>
          <w:rFonts w:ascii="Times New Roman" w:hAnsi="Times New Roman"/>
          <w:sz w:val="26"/>
          <w:szCs w:val="26"/>
        </w:rPr>
        <w:t xml:space="preserve">necessario mantenere un massimale “agevolabile” di opere per singola unità immobiliare, </w:t>
      </w:r>
      <w:r w:rsidR="004A0D9C" w:rsidRPr="0077427C">
        <w:rPr>
          <w:rFonts w:ascii="Times New Roman" w:hAnsi="Times New Roman"/>
          <w:sz w:val="26"/>
          <w:szCs w:val="26"/>
        </w:rPr>
        <w:t xml:space="preserve">come per il </w:t>
      </w:r>
      <w:r w:rsidR="004A0D9C" w:rsidRPr="0077427C">
        <w:rPr>
          <w:rFonts w:ascii="Times New Roman" w:hAnsi="Times New Roman"/>
          <w:i/>
          <w:sz w:val="26"/>
          <w:szCs w:val="26"/>
        </w:rPr>
        <w:t>superbonus</w:t>
      </w:r>
      <w:r w:rsidR="009C2AB2" w:rsidRPr="0077427C">
        <w:rPr>
          <w:rFonts w:ascii="Times New Roman" w:hAnsi="Times New Roman"/>
          <w:sz w:val="26"/>
          <w:szCs w:val="26"/>
        </w:rPr>
        <w:t>.</w:t>
      </w:r>
    </w:p>
    <w:p w14:paraId="4C8D62C8" w14:textId="77777777" w:rsidR="004A0D9C" w:rsidRPr="0077427C" w:rsidRDefault="004A0D9C" w:rsidP="004A0D9C">
      <w:pPr>
        <w:rPr>
          <w:rFonts w:ascii="Times New Roman" w:hAnsi="Times New Roman"/>
          <w:sz w:val="26"/>
          <w:szCs w:val="26"/>
        </w:rPr>
      </w:pPr>
      <w:r w:rsidRPr="0077427C">
        <w:rPr>
          <w:rFonts w:ascii="Times New Roman" w:hAnsi="Times New Roman"/>
          <w:sz w:val="26"/>
          <w:szCs w:val="26"/>
        </w:rPr>
        <w:t>Per quanto riguarda l’impatto ambientale degli incent</w:t>
      </w:r>
      <w:r w:rsidR="001B2B3E" w:rsidRPr="0077427C">
        <w:rPr>
          <w:rFonts w:ascii="Times New Roman" w:hAnsi="Times New Roman"/>
          <w:sz w:val="26"/>
          <w:szCs w:val="26"/>
        </w:rPr>
        <w:t>i</w:t>
      </w:r>
      <w:r w:rsidRPr="0077427C">
        <w:rPr>
          <w:rFonts w:ascii="Times New Roman" w:hAnsi="Times New Roman"/>
          <w:sz w:val="26"/>
          <w:szCs w:val="26"/>
        </w:rPr>
        <w:t xml:space="preserve">vi in materia edilizia, </w:t>
      </w:r>
      <w:r w:rsidR="005947D6" w:rsidRPr="0077427C">
        <w:rPr>
          <w:rFonts w:ascii="Times New Roman" w:hAnsi="Times New Roman"/>
          <w:sz w:val="26"/>
          <w:szCs w:val="26"/>
        </w:rPr>
        <w:t xml:space="preserve">è stato evidenziato </w:t>
      </w:r>
      <w:r w:rsidRPr="0077427C">
        <w:rPr>
          <w:rFonts w:ascii="Times New Roman" w:hAnsi="Times New Roman"/>
          <w:sz w:val="26"/>
          <w:szCs w:val="26"/>
        </w:rPr>
        <w:t>un risparmio di 1,3 miliardi di metri cubi di gas con il completamento delle opere per il risanamento energetico finanz</w:t>
      </w:r>
      <w:r w:rsidR="001B2B3E" w:rsidRPr="0077427C">
        <w:rPr>
          <w:rFonts w:ascii="Times New Roman" w:hAnsi="Times New Roman"/>
          <w:sz w:val="26"/>
          <w:szCs w:val="26"/>
        </w:rPr>
        <w:t>i</w:t>
      </w:r>
      <w:r w:rsidRPr="0077427C">
        <w:rPr>
          <w:rFonts w:ascii="Times New Roman" w:hAnsi="Times New Roman"/>
          <w:sz w:val="26"/>
          <w:szCs w:val="26"/>
        </w:rPr>
        <w:t xml:space="preserve">ate al 110% nel periodo 2020-marzo 2023. </w:t>
      </w:r>
      <w:r w:rsidR="005947D6" w:rsidRPr="0077427C">
        <w:rPr>
          <w:rFonts w:ascii="Times New Roman" w:hAnsi="Times New Roman"/>
          <w:sz w:val="26"/>
          <w:szCs w:val="26"/>
        </w:rPr>
        <w:t xml:space="preserve">Nel documento depositato sono invece dettagliati gli effetti economici </w:t>
      </w:r>
      <w:r w:rsidR="007B3E5E" w:rsidRPr="0077427C">
        <w:rPr>
          <w:rFonts w:ascii="Times New Roman" w:hAnsi="Times New Roman"/>
          <w:sz w:val="26"/>
          <w:szCs w:val="26"/>
        </w:rPr>
        <w:t xml:space="preserve">del </w:t>
      </w:r>
      <w:r w:rsidR="007B3E5E" w:rsidRPr="0077427C">
        <w:rPr>
          <w:rFonts w:ascii="Times New Roman" w:hAnsi="Times New Roman"/>
          <w:i/>
          <w:sz w:val="26"/>
          <w:szCs w:val="26"/>
        </w:rPr>
        <w:t>superbonus</w:t>
      </w:r>
      <w:r w:rsidR="007B3E5E" w:rsidRPr="0077427C">
        <w:rPr>
          <w:rFonts w:ascii="Times New Roman" w:hAnsi="Times New Roman"/>
          <w:sz w:val="26"/>
          <w:szCs w:val="26"/>
        </w:rPr>
        <w:t xml:space="preserve"> sul valore della produzione, sull’occupazione attivata e in termini di costi per lo Stato. </w:t>
      </w:r>
    </w:p>
    <w:p w14:paraId="67137689" w14:textId="16052FB6" w:rsidR="005947D6" w:rsidRPr="0077427C" w:rsidRDefault="005947D6" w:rsidP="005947D6">
      <w:pPr>
        <w:rPr>
          <w:rFonts w:ascii="Times New Roman" w:hAnsi="Times New Roman"/>
          <w:sz w:val="26"/>
          <w:szCs w:val="26"/>
        </w:rPr>
      </w:pPr>
      <w:r w:rsidRPr="0077427C">
        <w:rPr>
          <w:rFonts w:ascii="Times New Roman" w:hAnsi="Times New Roman"/>
          <w:sz w:val="26"/>
          <w:szCs w:val="26"/>
        </w:rPr>
        <w:t xml:space="preserve">Nel </w:t>
      </w:r>
      <w:r w:rsidR="002B2163" w:rsidRPr="0077427C">
        <w:rPr>
          <w:rFonts w:ascii="Times New Roman" w:hAnsi="Times New Roman"/>
          <w:sz w:val="26"/>
          <w:szCs w:val="26"/>
        </w:rPr>
        <w:t xml:space="preserve">medesimo documento </w:t>
      </w:r>
      <w:r w:rsidRPr="0077427C">
        <w:rPr>
          <w:rFonts w:ascii="Times New Roman" w:hAnsi="Times New Roman"/>
          <w:sz w:val="26"/>
          <w:szCs w:val="26"/>
        </w:rPr>
        <w:t>sono avanzate alcune proposte per migliorare la cessione dei crediti di imposta e la fruibilità dei bonus. Quanto alla cessione dei crediti di imposta, le proposte riguardano: la possibilità, per gli operatori abilitati (</w:t>
      </w:r>
      <w:r w:rsidR="002B2163" w:rsidRPr="0077427C">
        <w:rPr>
          <w:rFonts w:ascii="Times New Roman" w:hAnsi="Times New Roman"/>
          <w:sz w:val="26"/>
          <w:szCs w:val="26"/>
        </w:rPr>
        <w:t>ad esempio, gli</w:t>
      </w:r>
      <w:r w:rsidRPr="0077427C">
        <w:rPr>
          <w:rFonts w:ascii="Times New Roman" w:hAnsi="Times New Roman"/>
          <w:sz w:val="26"/>
          <w:szCs w:val="26"/>
        </w:rPr>
        <w:t xml:space="preserve"> istituti bancari)</w:t>
      </w:r>
      <w:r w:rsidR="0022063D" w:rsidRPr="0077427C">
        <w:rPr>
          <w:rFonts w:ascii="Times New Roman" w:hAnsi="Times New Roman"/>
          <w:sz w:val="26"/>
          <w:szCs w:val="26"/>
        </w:rPr>
        <w:t>,</w:t>
      </w:r>
      <w:r w:rsidRPr="0077427C">
        <w:rPr>
          <w:rFonts w:ascii="Times New Roman" w:hAnsi="Times New Roman"/>
          <w:sz w:val="26"/>
          <w:szCs w:val="26"/>
        </w:rPr>
        <w:t xml:space="preserve"> di offrire i crediti fiscali acquisiti anche ai propri clienti e, per gli Enti previdenziali ordinistici, di svolgere una funzione di garanzia nella cessione dei crediti; la realizzazione di una piattaforma unica di controllo e la previsione di meccanismi per calmierare i costi delle cessioni; la valorizzazione dei pareri della Commissione di monitoraggio presso il Consiglio Superiore dei Lavori Pubblici; e la previsione di norme che disciplinino i cd. </w:t>
      </w:r>
      <w:r w:rsidRPr="0077427C">
        <w:rPr>
          <w:rFonts w:ascii="Times New Roman" w:hAnsi="Times New Roman"/>
          <w:i/>
          <w:sz w:val="26"/>
          <w:szCs w:val="26"/>
        </w:rPr>
        <w:t>general contractor</w:t>
      </w:r>
      <w:r w:rsidRPr="0077427C">
        <w:rPr>
          <w:rFonts w:ascii="Times New Roman" w:hAnsi="Times New Roman"/>
          <w:sz w:val="26"/>
          <w:szCs w:val="26"/>
        </w:rPr>
        <w:t xml:space="preserve"> chiarendone i ruoli, i limiti e le responsabilità. Per quanto concerne invece la creazione di strumenti per ampliare le ipotesi di fruibilità del </w:t>
      </w:r>
      <w:r w:rsidRPr="0077427C">
        <w:rPr>
          <w:rFonts w:ascii="Times New Roman" w:hAnsi="Times New Roman"/>
          <w:i/>
          <w:sz w:val="26"/>
          <w:szCs w:val="26"/>
        </w:rPr>
        <w:t>superbonus</w:t>
      </w:r>
      <w:r w:rsidRPr="0077427C">
        <w:rPr>
          <w:rFonts w:ascii="Times New Roman" w:hAnsi="Times New Roman"/>
          <w:sz w:val="26"/>
          <w:szCs w:val="26"/>
        </w:rPr>
        <w:t>, si propone di valutare la possibilità di fruizione del credito non utilizzato nel singolo anno fiscale anche negli anni successivi e la previsione di un incentivo che consenta di gestire gli eventuali condòmini incapienti, i quali in molti casi bloccano di fatto gli interventi.</w:t>
      </w:r>
    </w:p>
    <w:p w14:paraId="70B7447A" w14:textId="77777777" w:rsidR="009C2AB2" w:rsidRPr="0077427C" w:rsidRDefault="009C2AB2" w:rsidP="009C2AB2">
      <w:pPr>
        <w:rPr>
          <w:rFonts w:ascii="Times New Roman" w:hAnsi="Times New Roman"/>
          <w:sz w:val="26"/>
          <w:szCs w:val="26"/>
        </w:rPr>
      </w:pPr>
    </w:p>
    <w:p w14:paraId="41CAECF0" w14:textId="77777777" w:rsidR="009C2AB2" w:rsidRPr="0077427C" w:rsidRDefault="009C2AB2" w:rsidP="009C2AB2">
      <w:pPr>
        <w:rPr>
          <w:rFonts w:ascii="Times New Roman" w:hAnsi="Times New Roman"/>
          <w:i/>
          <w:sz w:val="26"/>
          <w:szCs w:val="26"/>
        </w:rPr>
      </w:pPr>
      <w:r w:rsidRPr="0077427C">
        <w:rPr>
          <w:rFonts w:ascii="Times New Roman" w:hAnsi="Times New Roman"/>
          <w:b/>
          <w:sz w:val="26"/>
          <w:szCs w:val="26"/>
        </w:rPr>
        <w:t>Confedilizia</w:t>
      </w:r>
      <w:r w:rsidR="00371480" w:rsidRPr="0077427C">
        <w:rPr>
          <w:rFonts w:ascii="Times New Roman" w:hAnsi="Times New Roman"/>
          <w:i/>
          <w:sz w:val="26"/>
          <w:szCs w:val="26"/>
        </w:rPr>
        <w:t xml:space="preserve"> </w:t>
      </w:r>
    </w:p>
    <w:p w14:paraId="20F08D54" w14:textId="77777777" w:rsidR="009C2AB2" w:rsidRPr="0077427C" w:rsidRDefault="00E56A0C" w:rsidP="00B7392D">
      <w:pPr>
        <w:rPr>
          <w:rFonts w:ascii="Times New Roman" w:hAnsi="Times New Roman"/>
          <w:i/>
          <w:sz w:val="26"/>
          <w:szCs w:val="26"/>
        </w:rPr>
      </w:pPr>
      <w:r w:rsidRPr="0077427C">
        <w:rPr>
          <w:rFonts w:ascii="Times New Roman" w:hAnsi="Times New Roman"/>
          <w:sz w:val="26"/>
          <w:szCs w:val="26"/>
        </w:rPr>
        <w:t>Nel corso dell’</w:t>
      </w:r>
      <w:r w:rsidR="00B7392D" w:rsidRPr="0077427C">
        <w:rPr>
          <w:rFonts w:ascii="Times New Roman" w:hAnsi="Times New Roman"/>
          <w:sz w:val="26"/>
          <w:szCs w:val="26"/>
        </w:rPr>
        <w:t>audizione del 17 maggio 2023,</w:t>
      </w:r>
      <w:r w:rsidR="009C2AB2" w:rsidRPr="0077427C">
        <w:rPr>
          <w:rFonts w:ascii="Times New Roman" w:hAnsi="Times New Roman"/>
          <w:sz w:val="26"/>
          <w:szCs w:val="26"/>
        </w:rPr>
        <w:t xml:space="preserve"> </w:t>
      </w:r>
      <w:r w:rsidRPr="0077427C">
        <w:rPr>
          <w:rFonts w:ascii="Times New Roman" w:hAnsi="Times New Roman"/>
          <w:sz w:val="26"/>
          <w:szCs w:val="26"/>
        </w:rPr>
        <w:t>è stato</w:t>
      </w:r>
      <w:r w:rsidR="009C2AB2" w:rsidRPr="0077427C">
        <w:rPr>
          <w:rFonts w:ascii="Times New Roman" w:hAnsi="Times New Roman"/>
          <w:sz w:val="26"/>
          <w:szCs w:val="26"/>
        </w:rPr>
        <w:t xml:space="preserve"> evidenziato che la maggior parte degli investimenti per l’efficientamento energetico degli immobili è stata sostenuta direttamente dalle famiglie, anche quando è stata applicata una detrazione fiscale parziale come l'</w:t>
      </w:r>
      <w:r w:rsidR="009C2AB2" w:rsidRPr="0077427C">
        <w:rPr>
          <w:rFonts w:ascii="Times New Roman" w:hAnsi="Times New Roman"/>
          <w:i/>
          <w:sz w:val="26"/>
          <w:szCs w:val="26"/>
        </w:rPr>
        <w:t>ecobonus</w:t>
      </w:r>
      <w:r w:rsidR="009C2AB2" w:rsidRPr="0077427C">
        <w:rPr>
          <w:rFonts w:ascii="Times New Roman" w:hAnsi="Times New Roman"/>
          <w:sz w:val="26"/>
          <w:szCs w:val="26"/>
        </w:rPr>
        <w:t>, che si applica alle imposte dell'anno successivo. È pertanto evidente che la leva fiscale può alleggerire sensibilmente il peso del cambiamento che grava sui proprietari. I benefici derivanti dai vari incentivi fiscali sono essenziali per promuovere gli investimenti nel settore edilizio. Ad avviso di Confedilizia, le detrazioni fiscali dovrebbero essere certe e stabili. A tal fine sarebbe opportuno procedere a una riforma complessiva del sistema degli incentivi, riducendo il catalogo delle misure e mantenendone solamente alcune prioritarie, al fine di consentire ai contribuenti di programmare gli interventi.</w:t>
      </w:r>
    </w:p>
    <w:p w14:paraId="476A96B3" w14:textId="77777777" w:rsidR="009C2AB2" w:rsidRPr="0077427C" w:rsidRDefault="009C2AB2" w:rsidP="009C2AB2">
      <w:pPr>
        <w:rPr>
          <w:rFonts w:ascii="Times New Roman" w:hAnsi="Times New Roman"/>
          <w:sz w:val="26"/>
          <w:szCs w:val="26"/>
        </w:rPr>
      </w:pPr>
    </w:p>
    <w:p w14:paraId="5F2419EE" w14:textId="77777777" w:rsidR="009C2AB2" w:rsidRPr="0077427C" w:rsidRDefault="009C2AB2" w:rsidP="009C2AB2">
      <w:pPr>
        <w:rPr>
          <w:rFonts w:ascii="Times New Roman" w:hAnsi="Times New Roman"/>
          <w:i/>
          <w:sz w:val="26"/>
          <w:szCs w:val="26"/>
        </w:rPr>
      </w:pPr>
      <w:r w:rsidRPr="0077427C">
        <w:rPr>
          <w:rFonts w:ascii="Times New Roman" w:hAnsi="Times New Roman"/>
          <w:b/>
          <w:sz w:val="26"/>
          <w:szCs w:val="26"/>
        </w:rPr>
        <w:t>OICE</w:t>
      </w:r>
      <w:r w:rsidR="00371480" w:rsidRPr="0077427C">
        <w:rPr>
          <w:rFonts w:ascii="Times New Roman" w:hAnsi="Times New Roman"/>
          <w:b/>
          <w:sz w:val="26"/>
          <w:szCs w:val="26"/>
        </w:rPr>
        <w:t xml:space="preserve"> </w:t>
      </w:r>
      <w:r w:rsidR="001B2B3E" w:rsidRPr="0077427C">
        <w:rPr>
          <w:rFonts w:ascii="Times New Roman" w:hAnsi="Times New Roman"/>
          <w:b/>
          <w:sz w:val="26"/>
          <w:szCs w:val="26"/>
        </w:rPr>
        <w:t>– associazione delle organizzazioni italiane di ingegneria, architettura e consulenza tecnico-economica</w:t>
      </w:r>
    </w:p>
    <w:p w14:paraId="0703B58D" w14:textId="77777777" w:rsidR="009C2AB2" w:rsidRPr="0077427C" w:rsidRDefault="00B2587F" w:rsidP="009C2AB2">
      <w:pPr>
        <w:rPr>
          <w:rFonts w:ascii="Times New Roman" w:hAnsi="Times New Roman"/>
          <w:sz w:val="26"/>
          <w:szCs w:val="26"/>
        </w:rPr>
      </w:pPr>
      <w:r w:rsidRPr="0077427C">
        <w:rPr>
          <w:rFonts w:ascii="Times New Roman" w:hAnsi="Times New Roman"/>
          <w:sz w:val="26"/>
          <w:szCs w:val="26"/>
        </w:rPr>
        <w:t xml:space="preserve">I rappresentanti di </w:t>
      </w:r>
      <w:r w:rsidR="009C2AB2" w:rsidRPr="0077427C">
        <w:rPr>
          <w:rFonts w:ascii="Times New Roman" w:hAnsi="Times New Roman"/>
          <w:sz w:val="26"/>
          <w:szCs w:val="26"/>
        </w:rPr>
        <w:t>OICE</w:t>
      </w:r>
      <w:r w:rsidR="00E57091" w:rsidRPr="0077427C">
        <w:rPr>
          <w:rFonts w:ascii="Times New Roman" w:hAnsi="Times New Roman"/>
          <w:sz w:val="26"/>
          <w:szCs w:val="26"/>
        </w:rPr>
        <w:t xml:space="preserve">, </w:t>
      </w:r>
      <w:r w:rsidRPr="0077427C">
        <w:rPr>
          <w:rFonts w:ascii="Times New Roman" w:hAnsi="Times New Roman"/>
          <w:sz w:val="26"/>
          <w:szCs w:val="26"/>
        </w:rPr>
        <w:t xml:space="preserve">nel </w:t>
      </w:r>
      <w:r w:rsidR="00E57091" w:rsidRPr="0077427C">
        <w:rPr>
          <w:rFonts w:ascii="Times New Roman" w:hAnsi="Times New Roman"/>
          <w:sz w:val="26"/>
          <w:szCs w:val="26"/>
        </w:rPr>
        <w:t>sottolinea</w:t>
      </w:r>
      <w:r w:rsidRPr="0077427C">
        <w:rPr>
          <w:rFonts w:ascii="Times New Roman" w:hAnsi="Times New Roman"/>
          <w:sz w:val="26"/>
          <w:szCs w:val="26"/>
        </w:rPr>
        <w:t>re</w:t>
      </w:r>
      <w:r w:rsidR="00E57091" w:rsidRPr="0077427C">
        <w:rPr>
          <w:rFonts w:ascii="Times New Roman" w:hAnsi="Times New Roman"/>
          <w:sz w:val="26"/>
          <w:szCs w:val="26"/>
        </w:rPr>
        <w:t xml:space="preserve"> l’importanza </w:t>
      </w:r>
      <w:r w:rsidRPr="0077427C">
        <w:rPr>
          <w:rFonts w:ascii="Times New Roman" w:hAnsi="Times New Roman"/>
          <w:sz w:val="26"/>
          <w:szCs w:val="26"/>
        </w:rPr>
        <w:t xml:space="preserve">dei </w:t>
      </w:r>
      <w:r w:rsidR="00E57091" w:rsidRPr="0077427C">
        <w:rPr>
          <w:rFonts w:ascii="Times New Roman" w:hAnsi="Times New Roman"/>
          <w:sz w:val="26"/>
          <w:szCs w:val="26"/>
        </w:rPr>
        <w:t>bonus per il rilancio del settore dell’edilizia evidenziando comunque l’impatto sui costi</w:t>
      </w:r>
      <w:r w:rsidRPr="0077427C">
        <w:rPr>
          <w:rFonts w:ascii="Times New Roman" w:hAnsi="Times New Roman"/>
          <w:sz w:val="26"/>
          <w:szCs w:val="26"/>
        </w:rPr>
        <w:t>,</w:t>
      </w:r>
      <w:r w:rsidR="00DC3D41" w:rsidRPr="0077427C">
        <w:rPr>
          <w:rFonts w:ascii="Times New Roman" w:hAnsi="Times New Roman"/>
          <w:sz w:val="26"/>
          <w:szCs w:val="26"/>
        </w:rPr>
        <w:t xml:space="preserve"> </w:t>
      </w:r>
      <w:r w:rsidRPr="0077427C">
        <w:rPr>
          <w:rFonts w:ascii="Times New Roman" w:hAnsi="Times New Roman"/>
          <w:sz w:val="26"/>
          <w:szCs w:val="26"/>
        </w:rPr>
        <w:t xml:space="preserve">hanno rilevato la necessità che si tenga conto, unitamente all’aspetto energetico, della riqualificazione sismica del patrimonio edilizio. </w:t>
      </w:r>
      <w:r w:rsidR="00DC3D41" w:rsidRPr="0077427C">
        <w:rPr>
          <w:rFonts w:ascii="Times New Roman" w:hAnsi="Times New Roman"/>
          <w:sz w:val="26"/>
          <w:szCs w:val="26"/>
        </w:rPr>
        <w:t xml:space="preserve">Nell’ottica della </w:t>
      </w:r>
      <w:r w:rsidR="009C2AB2" w:rsidRPr="0077427C">
        <w:rPr>
          <w:rFonts w:ascii="Times New Roman" w:hAnsi="Times New Roman"/>
          <w:sz w:val="26"/>
          <w:szCs w:val="26"/>
        </w:rPr>
        <w:t>direttiva europea cosiddetta “case green”</w:t>
      </w:r>
      <w:r w:rsidRPr="0077427C">
        <w:rPr>
          <w:rFonts w:ascii="Times New Roman" w:hAnsi="Times New Roman"/>
          <w:sz w:val="26"/>
          <w:szCs w:val="26"/>
        </w:rPr>
        <w:t xml:space="preserve"> sulla base di un approccio più lineare e calibrato sulla realtà dell’Italia</w:t>
      </w:r>
      <w:r w:rsidR="009C2AB2" w:rsidRPr="0077427C">
        <w:rPr>
          <w:rFonts w:ascii="Times New Roman" w:hAnsi="Times New Roman"/>
          <w:sz w:val="26"/>
          <w:szCs w:val="26"/>
        </w:rPr>
        <w:t xml:space="preserve">, </w:t>
      </w:r>
      <w:r w:rsidRPr="0077427C">
        <w:rPr>
          <w:rFonts w:ascii="Times New Roman" w:hAnsi="Times New Roman"/>
          <w:sz w:val="26"/>
          <w:szCs w:val="26"/>
        </w:rPr>
        <w:t xml:space="preserve">si dovrebbero valutare attentamente i seguenti profili: </w:t>
      </w:r>
      <w:r w:rsidR="009C2AB2" w:rsidRPr="0077427C">
        <w:rPr>
          <w:rFonts w:ascii="Times New Roman" w:hAnsi="Times New Roman"/>
          <w:sz w:val="26"/>
          <w:szCs w:val="26"/>
        </w:rPr>
        <w:t>proporre in sede europea rilevanti deroghe temporali e obiettivi intermedi</w:t>
      </w:r>
      <w:r w:rsidRPr="0077427C">
        <w:rPr>
          <w:rFonts w:ascii="Times New Roman" w:hAnsi="Times New Roman"/>
          <w:sz w:val="26"/>
          <w:szCs w:val="26"/>
        </w:rPr>
        <w:t xml:space="preserve">; </w:t>
      </w:r>
      <w:r w:rsidR="009C2AB2" w:rsidRPr="0077427C">
        <w:rPr>
          <w:rFonts w:ascii="Times New Roman" w:hAnsi="Times New Roman"/>
          <w:sz w:val="26"/>
          <w:szCs w:val="26"/>
        </w:rPr>
        <w:t>mettere a punto, in ambito nazionale, una misura tecnico economica che contempli la partecipazione dello Stato e dei cittadini proprietari</w:t>
      </w:r>
      <w:r w:rsidRPr="0077427C">
        <w:rPr>
          <w:rFonts w:ascii="Times New Roman" w:hAnsi="Times New Roman"/>
          <w:sz w:val="26"/>
          <w:szCs w:val="26"/>
        </w:rPr>
        <w:t xml:space="preserve">; </w:t>
      </w:r>
      <w:r w:rsidR="009C2AB2" w:rsidRPr="0077427C">
        <w:rPr>
          <w:rFonts w:ascii="Times New Roman" w:hAnsi="Times New Roman"/>
          <w:sz w:val="26"/>
          <w:szCs w:val="26"/>
        </w:rPr>
        <w:t>individuare un arco temporale di attuazione non inferiore ai 25-30 anni.</w:t>
      </w:r>
    </w:p>
    <w:p w14:paraId="34589FE4" w14:textId="77777777" w:rsidR="009C2AB2" w:rsidRPr="0077427C" w:rsidRDefault="00B2587F" w:rsidP="009C2AB2">
      <w:pPr>
        <w:rPr>
          <w:rFonts w:ascii="Times New Roman" w:hAnsi="Times New Roman"/>
          <w:sz w:val="26"/>
          <w:szCs w:val="26"/>
        </w:rPr>
      </w:pPr>
      <w:r w:rsidRPr="0077427C">
        <w:rPr>
          <w:rFonts w:ascii="Times New Roman" w:hAnsi="Times New Roman"/>
          <w:sz w:val="26"/>
          <w:szCs w:val="26"/>
        </w:rPr>
        <w:t xml:space="preserve">Nel documento depositato, </w:t>
      </w:r>
      <w:r w:rsidR="009C2AB2" w:rsidRPr="0077427C">
        <w:rPr>
          <w:rFonts w:ascii="Times New Roman" w:hAnsi="Times New Roman"/>
          <w:sz w:val="26"/>
          <w:szCs w:val="26"/>
        </w:rPr>
        <w:t>OICE ritiene inoltre necessario</w:t>
      </w:r>
      <w:r w:rsidRPr="0077427C">
        <w:rPr>
          <w:rFonts w:ascii="Times New Roman" w:hAnsi="Times New Roman"/>
          <w:sz w:val="26"/>
          <w:szCs w:val="26"/>
        </w:rPr>
        <w:t>:</w:t>
      </w:r>
      <w:r w:rsidR="009C2AB2" w:rsidRPr="0077427C">
        <w:rPr>
          <w:rFonts w:ascii="Times New Roman" w:hAnsi="Times New Roman"/>
          <w:sz w:val="26"/>
          <w:szCs w:val="26"/>
        </w:rPr>
        <w:t xml:space="preserve"> individuare norme attuative</w:t>
      </w:r>
      <w:r w:rsidRPr="0077427C">
        <w:rPr>
          <w:rFonts w:ascii="Times New Roman" w:hAnsi="Times New Roman"/>
          <w:sz w:val="26"/>
          <w:szCs w:val="26"/>
        </w:rPr>
        <w:t>,</w:t>
      </w:r>
      <w:r w:rsidR="009C2AB2" w:rsidRPr="0077427C">
        <w:rPr>
          <w:rFonts w:ascii="Times New Roman" w:hAnsi="Times New Roman"/>
          <w:sz w:val="26"/>
          <w:szCs w:val="26"/>
        </w:rPr>
        <w:t xml:space="preserve"> </w:t>
      </w:r>
      <w:r w:rsidRPr="0077427C">
        <w:rPr>
          <w:rFonts w:ascii="Times New Roman" w:hAnsi="Times New Roman"/>
          <w:sz w:val="26"/>
          <w:szCs w:val="26"/>
        </w:rPr>
        <w:t xml:space="preserve">migliorabili </w:t>
      </w:r>
      <w:r w:rsidR="009C2AB2" w:rsidRPr="0077427C">
        <w:rPr>
          <w:rFonts w:ascii="Times New Roman" w:hAnsi="Times New Roman"/>
          <w:sz w:val="26"/>
          <w:szCs w:val="26"/>
        </w:rPr>
        <w:t xml:space="preserve">anche sulla scorta delle esperienze maturale con la norma “Conto Termico 2”; definire le corrette percentuali di contributo statale per l’attuazione del piano di riqualificazione; differenziare i benefici fiscali in funzione della capacità di reddito del singolo proprietario e/o della tipologia di edificio; definire una percentuale di aiuto statale diversa a seconda del risultato ottenuto in termini di qualità della riqualificazione, utilizzo di tecnologie e materiali maggiormente prestazionali in termini di eco sostenibilità, rapidità di esecuzione, rispondenza alle esigenze di economia circolare e riciclabilità, abbattimento dei costi di realizzazione. </w:t>
      </w:r>
    </w:p>
    <w:p w14:paraId="46FAB41C" w14:textId="77777777" w:rsidR="009C2AB2" w:rsidRPr="0077427C" w:rsidRDefault="009C2AB2" w:rsidP="009C2AB2">
      <w:pPr>
        <w:ind w:firstLine="0"/>
        <w:rPr>
          <w:rFonts w:ascii="Times New Roman" w:hAnsi="Times New Roman"/>
          <w:sz w:val="26"/>
          <w:szCs w:val="26"/>
        </w:rPr>
      </w:pPr>
    </w:p>
    <w:p w14:paraId="1ADC7E8D" w14:textId="77777777" w:rsidR="009C2AB2" w:rsidRPr="0077427C" w:rsidRDefault="009C2AB2" w:rsidP="009C2AB2">
      <w:pPr>
        <w:rPr>
          <w:rFonts w:ascii="Times New Roman" w:hAnsi="Times New Roman"/>
          <w:i/>
          <w:sz w:val="26"/>
          <w:szCs w:val="26"/>
        </w:rPr>
      </w:pPr>
      <w:r w:rsidRPr="0077427C">
        <w:rPr>
          <w:rFonts w:ascii="Times New Roman" w:hAnsi="Times New Roman"/>
          <w:b/>
          <w:sz w:val="26"/>
          <w:szCs w:val="26"/>
        </w:rPr>
        <w:t xml:space="preserve">CRESME </w:t>
      </w:r>
    </w:p>
    <w:p w14:paraId="17EF9BAD" w14:textId="77777777" w:rsidR="009C2AB2" w:rsidRPr="0077427C" w:rsidRDefault="005D0117" w:rsidP="009C2AB2">
      <w:pPr>
        <w:rPr>
          <w:rFonts w:ascii="Times New Roman" w:hAnsi="Times New Roman"/>
          <w:sz w:val="26"/>
          <w:szCs w:val="26"/>
        </w:rPr>
      </w:pPr>
      <w:r w:rsidRPr="0077427C">
        <w:rPr>
          <w:rFonts w:ascii="Times New Roman" w:hAnsi="Times New Roman"/>
          <w:sz w:val="26"/>
          <w:szCs w:val="26"/>
        </w:rPr>
        <w:t>Nel corso dell’audizione è stato</w:t>
      </w:r>
      <w:r w:rsidR="009C2AB2" w:rsidRPr="0077427C">
        <w:rPr>
          <w:rFonts w:ascii="Times New Roman" w:hAnsi="Times New Roman"/>
          <w:sz w:val="26"/>
          <w:szCs w:val="26"/>
        </w:rPr>
        <w:t xml:space="preserve"> evidenziato, per il periodo dal 1° gennaio al 30 aprile 2023, </w:t>
      </w:r>
      <w:r w:rsidRPr="0077427C">
        <w:rPr>
          <w:rFonts w:ascii="Times New Roman" w:hAnsi="Times New Roman"/>
          <w:sz w:val="26"/>
          <w:szCs w:val="26"/>
        </w:rPr>
        <w:t>il dato del</w:t>
      </w:r>
      <w:r w:rsidR="009C2AB2" w:rsidRPr="0077427C">
        <w:rPr>
          <w:rFonts w:ascii="Times New Roman" w:hAnsi="Times New Roman"/>
          <w:sz w:val="26"/>
          <w:szCs w:val="26"/>
        </w:rPr>
        <w:t xml:space="preserve">la presenza di 407.400 cantieri per 76 miliardi di euro di investimento, che, con l’aggiunta del 10 per cento destinato al sistema bancario, porta le detrazioni a 83,4 miliardi di euro. Gli edifici coinvolti sono stati il 3,3 per cento del totale e l’importo medio mensile dei lavori asseverati </w:t>
      </w:r>
      <w:r w:rsidR="00B2587F" w:rsidRPr="0077427C">
        <w:rPr>
          <w:rFonts w:ascii="Times New Roman" w:hAnsi="Times New Roman"/>
          <w:sz w:val="26"/>
          <w:szCs w:val="26"/>
        </w:rPr>
        <w:t xml:space="preserve">nei primi mesi del 2023 </w:t>
      </w:r>
      <w:r w:rsidR="009C2AB2" w:rsidRPr="0077427C">
        <w:rPr>
          <w:rFonts w:ascii="Times New Roman" w:hAnsi="Times New Roman"/>
          <w:sz w:val="26"/>
          <w:szCs w:val="26"/>
        </w:rPr>
        <w:t xml:space="preserve">è stato di 3,3 miliardi di euro, rispetto ai 3,8 del 2022.  </w:t>
      </w:r>
    </w:p>
    <w:p w14:paraId="5E33F504" w14:textId="6E8EA07F" w:rsidR="009C2AB2" w:rsidRPr="0077427C" w:rsidRDefault="009A4070" w:rsidP="009C2AB2">
      <w:pPr>
        <w:rPr>
          <w:rFonts w:ascii="Times New Roman" w:hAnsi="Times New Roman"/>
          <w:sz w:val="26"/>
          <w:szCs w:val="26"/>
        </w:rPr>
      </w:pPr>
      <w:r w:rsidRPr="0077427C">
        <w:rPr>
          <w:rFonts w:ascii="Times New Roman" w:hAnsi="Times New Roman"/>
          <w:sz w:val="26"/>
          <w:szCs w:val="26"/>
        </w:rPr>
        <w:t>È</w:t>
      </w:r>
      <w:r w:rsidR="005D0117" w:rsidRPr="0077427C">
        <w:rPr>
          <w:rFonts w:ascii="Times New Roman" w:hAnsi="Times New Roman"/>
          <w:sz w:val="26"/>
          <w:szCs w:val="26"/>
        </w:rPr>
        <w:t xml:space="preserve"> stato</w:t>
      </w:r>
      <w:r w:rsidR="009C2AB2" w:rsidRPr="0077427C">
        <w:rPr>
          <w:rFonts w:ascii="Times New Roman" w:hAnsi="Times New Roman"/>
          <w:sz w:val="26"/>
          <w:szCs w:val="26"/>
        </w:rPr>
        <w:t xml:space="preserve"> quindi sottolineato </w:t>
      </w:r>
      <w:r w:rsidR="00B2587F" w:rsidRPr="0077427C">
        <w:rPr>
          <w:rFonts w:ascii="Times New Roman" w:hAnsi="Times New Roman"/>
          <w:sz w:val="26"/>
          <w:szCs w:val="26"/>
        </w:rPr>
        <w:t>l’impatto</w:t>
      </w:r>
      <w:r w:rsidR="009C2AB2" w:rsidRPr="0077427C">
        <w:rPr>
          <w:rFonts w:ascii="Times New Roman" w:hAnsi="Times New Roman"/>
          <w:sz w:val="26"/>
          <w:szCs w:val="26"/>
        </w:rPr>
        <w:t xml:space="preserve"> del superbonus nell’attivazione degli investimenti: rispetto ad una media di 28 miliardi annui tra il 2013 e il 2020, il 2021 ha registrato investimenti per 63 miliardi di euro e il 2022 per quasi 95 miliardi di euro.</w:t>
      </w:r>
    </w:p>
    <w:p w14:paraId="0A4B8B00" w14:textId="4FD8C4DC" w:rsidR="009C2AB2" w:rsidRPr="0077427C" w:rsidRDefault="00B2587F" w:rsidP="009C2AB2">
      <w:pPr>
        <w:rPr>
          <w:rFonts w:ascii="Times New Roman" w:hAnsi="Times New Roman"/>
          <w:sz w:val="26"/>
          <w:szCs w:val="26"/>
        </w:rPr>
      </w:pPr>
      <w:r w:rsidRPr="0077427C">
        <w:rPr>
          <w:rFonts w:ascii="Times New Roman" w:hAnsi="Times New Roman"/>
          <w:sz w:val="26"/>
          <w:szCs w:val="26"/>
        </w:rPr>
        <w:t xml:space="preserve">Nel corso dell’audizione </w:t>
      </w:r>
      <w:r w:rsidR="00FC61F7" w:rsidRPr="0077427C">
        <w:rPr>
          <w:rFonts w:ascii="Times New Roman" w:hAnsi="Times New Roman"/>
          <w:sz w:val="26"/>
          <w:szCs w:val="26"/>
        </w:rPr>
        <w:t>è stato illustrato</w:t>
      </w:r>
      <w:r w:rsidR="009C2AB2" w:rsidRPr="0077427C">
        <w:rPr>
          <w:rFonts w:ascii="Times New Roman" w:hAnsi="Times New Roman"/>
          <w:sz w:val="26"/>
          <w:szCs w:val="26"/>
        </w:rPr>
        <w:t xml:space="preserve"> un confronto tra la previsione di Enea elaborata con i loro modelli di costo per ottenere l’obiettivo di risparmio delineato dal PNIEC </w:t>
      </w:r>
      <w:r w:rsidR="002B2163" w:rsidRPr="0077427C">
        <w:rPr>
          <w:rFonts w:ascii="Times New Roman" w:hAnsi="Times New Roman"/>
          <w:sz w:val="26"/>
          <w:szCs w:val="26"/>
        </w:rPr>
        <w:t xml:space="preserve">- </w:t>
      </w:r>
      <w:r w:rsidR="009C2AB2" w:rsidRPr="0077427C">
        <w:rPr>
          <w:rFonts w:ascii="Times New Roman" w:hAnsi="Times New Roman"/>
          <w:sz w:val="26"/>
          <w:szCs w:val="26"/>
        </w:rPr>
        <w:t>nella versione precedente alla proposta di aggiornamento inviata dal Governo alla Commissione europea</w:t>
      </w:r>
      <w:r w:rsidR="002B2163" w:rsidRPr="0077427C">
        <w:rPr>
          <w:rFonts w:ascii="Times New Roman" w:hAnsi="Times New Roman"/>
          <w:sz w:val="26"/>
          <w:szCs w:val="26"/>
        </w:rPr>
        <w:t xml:space="preserve"> </w:t>
      </w:r>
      <w:proofErr w:type="gramStart"/>
      <w:r w:rsidR="002B2163" w:rsidRPr="0077427C">
        <w:rPr>
          <w:rFonts w:ascii="Times New Roman" w:hAnsi="Times New Roman"/>
          <w:sz w:val="26"/>
          <w:szCs w:val="26"/>
        </w:rPr>
        <w:t>- ,</w:t>
      </w:r>
      <w:proofErr w:type="gramEnd"/>
      <w:r w:rsidR="002B2163" w:rsidRPr="0077427C">
        <w:rPr>
          <w:rFonts w:ascii="Times New Roman" w:hAnsi="Times New Roman"/>
          <w:i/>
          <w:sz w:val="26"/>
          <w:szCs w:val="26"/>
        </w:rPr>
        <w:t xml:space="preserve"> </w:t>
      </w:r>
      <w:r w:rsidR="009C2AB2" w:rsidRPr="0077427C">
        <w:rPr>
          <w:rFonts w:ascii="Times New Roman" w:hAnsi="Times New Roman"/>
          <w:sz w:val="26"/>
          <w:szCs w:val="26"/>
        </w:rPr>
        <w:t>fissato in tonnellate di petrolio equivalente</w:t>
      </w:r>
      <w:r w:rsidR="002B2163" w:rsidRPr="0077427C">
        <w:rPr>
          <w:rFonts w:ascii="Times New Roman" w:hAnsi="Times New Roman"/>
          <w:sz w:val="26"/>
          <w:szCs w:val="26"/>
        </w:rPr>
        <w:t>,</w:t>
      </w:r>
      <w:r w:rsidR="009C2AB2" w:rsidRPr="0077427C">
        <w:rPr>
          <w:rFonts w:ascii="Times New Roman" w:hAnsi="Times New Roman"/>
          <w:sz w:val="26"/>
          <w:szCs w:val="26"/>
        </w:rPr>
        <w:t xml:space="preserve"> e i risultati raggiunti con l’applicazione del </w:t>
      </w:r>
      <w:r w:rsidR="009C2AB2" w:rsidRPr="0077427C">
        <w:rPr>
          <w:rFonts w:ascii="Times New Roman" w:hAnsi="Times New Roman"/>
          <w:i/>
          <w:sz w:val="26"/>
          <w:szCs w:val="26"/>
        </w:rPr>
        <w:t>superbonus.</w:t>
      </w:r>
      <w:r w:rsidR="009C2AB2" w:rsidRPr="0077427C">
        <w:rPr>
          <w:rFonts w:ascii="Times New Roman" w:hAnsi="Times New Roman"/>
          <w:sz w:val="26"/>
          <w:szCs w:val="26"/>
        </w:rPr>
        <w:t xml:space="preserve"> </w:t>
      </w:r>
    </w:p>
    <w:p w14:paraId="0F202BBC" w14:textId="77777777" w:rsidR="009C2AB2" w:rsidRPr="0077427C" w:rsidRDefault="009C2AB2" w:rsidP="009C2AB2">
      <w:pPr>
        <w:rPr>
          <w:rFonts w:ascii="Times New Roman" w:hAnsi="Times New Roman"/>
          <w:sz w:val="26"/>
          <w:szCs w:val="26"/>
        </w:rPr>
      </w:pPr>
      <w:r w:rsidRPr="0077427C">
        <w:rPr>
          <w:rFonts w:ascii="Times New Roman" w:hAnsi="Times New Roman"/>
          <w:sz w:val="26"/>
          <w:szCs w:val="26"/>
        </w:rPr>
        <w:t>L’obiettivo da raggiungere secondo il PNIEC è di 0,33 milioni di tonnellate di petrolio equivalente all’anno, per l’edilizia residenziale, per un risultato complessivo in 10 anni (2021-2030) pari a 3,3 milioni; di 0,24 milioni di tonnellate di petrolio equivalente per il settore terziario, per un risultato complessivo in 10 anni (2021-2030) pari a 2,4 milioni; di 0,1 milioni di tonnellate di petrolio equivalente per l’industria, per un risultato complessivo in 10 anni (2021-2030) pari a 1 milione; e di 0,26 milioni di tonnellate di petrolio equivalente per il settore dei trasporti, per un risultato complessivo in 10 anni (2021-2030) pari a 2,6 milioni. Il risparmio complessivo di tutti i settori in dieci anni è attestato quindi su 9,3 milioni di tonnellate di petrolio equivalente da risparmiare.</w:t>
      </w:r>
    </w:p>
    <w:p w14:paraId="603A8FA1" w14:textId="77777777" w:rsidR="009C2AB2" w:rsidRPr="0077427C" w:rsidRDefault="009C2AB2" w:rsidP="009C2AB2">
      <w:pPr>
        <w:rPr>
          <w:rFonts w:ascii="Times New Roman" w:hAnsi="Times New Roman"/>
          <w:sz w:val="26"/>
          <w:szCs w:val="26"/>
        </w:rPr>
      </w:pPr>
      <w:r w:rsidRPr="0077427C">
        <w:rPr>
          <w:rFonts w:ascii="Times New Roman" w:hAnsi="Times New Roman"/>
          <w:sz w:val="26"/>
          <w:szCs w:val="26"/>
        </w:rPr>
        <w:t xml:space="preserve">Tornando alla sola edilizia residenziale, l’obiettivo è quindi pari a 0,33 milioni di tonnellate di petrolio equivalente all’anno, mentre con il superbonus in un solo anno, il 2022, si sono risparmiati 0,74 milioni di tonnellate di petrolio equivalente, quindi più del doppio di quanto previsto da Enea. Questo fa capire che, se continuasse la politica del superbonus nei termini in cui stata portata avanti finora, si raggiungerebbe in soli 4 anni (e si supererebbe, perché si arriverebbe a 3,7) il risultato di 3,3 milioni di tonnellate di petrolio equivalente risparmiato. </w:t>
      </w:r>
    </w:p>
    <w:p w14:paraId="41A50681" w14:textId="32BD7656" w:rsidR="009C2AB2" w:rsidRPr="0077427C" w:rsidRDefault="009C2AB2" w:rsidP="002B2163">
      <w:pPr>
        <w:rPr>
          <w:rFonts w:ascii="Times New Roman" w:hAnsi="Times New Roman"/>
          <w:sz w:val="26"/>
          <w:szCs w:val="26"/>
        </w:rPr>
      </w:pPr>
      <w:r w:rsidRPr="0077427C">
        <w:rPr>
          <w:rFonts w:ascii="Times New Roman" w:hAnsi="Times New Roman"/>
          <w:sz w:val="26"/>
          <w:szCs w:val="26"/>
        </w:rPr>
        <w:t xml:space="preserve">Quanto ai costi, </w:t>
      </w:r>
      <w:r w:rsidR="005D0117" w:rsidRPr="0077427C">
        <w:rPr>
          <w:rFonts w:ascii="Times New Roman" w:hAnsi="Times New Roman"/>
          <w:sz w:val="26"/>
          <w:szCs w:val="26"/>
        </w:rPr>
        <w:t>il rappresentante del CRESME</w:t>
      </w:r>
      <w:r w:rsidRPr="0077427C">
        <w:rPr>
          <w:rFonts w:ascii="Times New Roman" w:hAnsi="Times New Roman"/>
          <w:sz w:val="26"/>
          <w:szCs w:val="26"/>
        </w:rPr>
        <w:t xml:space="preserve"> ha osservato </w:t>
      </w:r>
      <w:r w:rsidRPr="0077427C">
        <w:rPr>
          <w:rFonts w:ascii="Times New Roman" w:hAnsi="Times New Roman"/>
          <w:b/>
          <w:sz w:val="26"/>
          <w:szCs w:val="26"/>
        </w:rPr>
        <w:t>che Enea</w:t>
      </w:r>
      <w:r w:rsidR="002B2163" w:rsidRPr="0077427C">
        <w:rPr>
          <w:rFonts w:ascii="Times New Roman" w:hAnsi="Times New Roman"/>
          <w:b/>
          <w:sz w:val="26"/>
          <w:szCs w:val="26"/>
        </w:rPr>
        <w:t xml:space="preserve"> fissava nel 2019 il costo in euro dell’intervento per ogni Tep risparmiato in una oscillazione compresa tra 27.820 euro e 36.180 euro</w:t>
      </w:r>
      <w:r w:rsidRPr="0077427C">
        <w:rPr>
          <w:rFonts w:ascii="Times New Roman" w:hAnsi="Times New Roman"/>
          <w:b/>
          <w:sz w:val="26"/>
          <w:szCs w:val="26"/>
        </w:rPr>
        <w:t xml:space="preserve">, mentre l’importo delle detrazioni per il </w:t>
      </w:r>
      <w:r w:rsidRPr="0077427C">
        <w:rPr>
          <w:rFonts w:ascii="Times New Roman" w:hAnsi="Times New Roman"/>
          <w:b/>
          <w:i/>
          <w:sz w:val="26"/>
          <w:szCs w:val="26"/>
        </w:rPr>
        <w:t>superbonus</w:t>
      </w:r>
      <w:r w:rsidRPr="0077427C">
        <w:rPr>
          <w:rFonts w:ascii="Times New Roman" w:hAnsi="Times New Roman"/>
          <w:b/>
          <w:sz w:val="26"/>
          <w:szCs w:val="26"/>
        </w:rPr>
        <w:t>, pari a 49.812 milioni di euro</w:t>
      </w:r>
      <w:r w:rsidR="002B2163" w:rsidRPr="0077427C">
        <w:rPr>
          <w:rFonts w:ascii="Times New Roman" w:hAnsi="Times New Roman"/>
          <w:b/>
          <w:sz w:val="26"/>
          <w:szCs w:val="26"/>
        </w:rPr>
        <w:t xml:space="preserve"> negli ultimi dodici mesi di </w:t>
      </w:r>
      <w:r w:rsidR="002B2163" w:rsidRPr="0077427C">
        <w:rPr>
          <w:rFonts w:ascii="Times New Roman" w:hAnsi="Times New Roman"/>
          <w:b/>
          <w:i/>
          <w:sz w:val="26"/>
          <w:szCs w:val="26"/>
        </w:rPr>
        <w:t>superbonus</w:t>
      </w:r>
      <w:r w:rsidRPr="0077427C">
        <w:rPr>
          <w:rFonts w:ascii="Times New Roman" w:hAnsi="Times New Roman"/>
          <w:b/>
          <w:sz w:val="26"/>
          <w:szCs w:val="26"/>
        </w:rPr>
        <w:t>,</w:t>
      </w:r>
      <w:r w:rsidRPr="0077427C">
        <w:rPr>
          <w:rFonts w:ascii="Times New Roman" w:hAnsi="Times New Roman"/>
          <w:sz w:val="26"/>
          <w:szCs w:val="26"/>
        </w:rPr>
        <w:t xml:space="preserve"> vale di fatto 69.178 euro, cioè circa il doppio di quello che Enea prevedeva di spendere per ottenere il risultato. Il rappresentante del CRESME ha tuttavia ricordato anche che, a contribuire all’aumento della spesa, c’è stata l’enorme crescita del costo delle materie prime, l’inflazione, il problema dell’energia e la speculazione attivata attraverso la filiera lunga delle costruzioni, che in ogni passaggio fa lievitare il prezzo. La stima di questi fattori esogeni è di circa il 30 per cento. </w:t>
      </w:r>
      <w:proofErr w:type="gramStart"/>
      <w:r w:rsidRPr="0077427C">
        <w:rPr>
          <w:rFonts w:ascii="Times New Roman" w:hAnsi="Times New Roman"/>
          <w:sz w:val="26"/>
          <w:szCs w:val="26"/>
        </w:rPr>
        <w:t>Inoltre</w:t>
      </w:r>
      <w:proofErr w:type="gramEnd"/>
      <w:r w:rsidRPr="0077427C">
        <w:rPr>
          <w:rFonts w:ascii="Times New Roman" w:hAnsi="Times New Roman"/>
          <w:sz w:val="26"/>
          <w:szCs w:val="26"/>
        </w:rPr>
        <w:t xml:space="preserve"> per la stessa struttura dello strumento del </w:t>
      </w:r>
      <w:r w:rsidRPr="0077427C">
        <w:rPr>
          <w:rFonts w:ascii="Times New Roman" w:hAnsi="Times New Roman"/>
          <w:i/>
          <w:sz w:val="26"/>
          <w:szCs w:val="26"/>
        </w:rPr>
        <w:t>superbonus</w:t>
      </w:r>
      <w:r w:rsidRPr="0077427C">
        <w:rPr>
          <w:rFonts w:ascii="Times New Roman" w:hAnsi="Times New Roman"/>
          <w:sz w:val="26"/>
          <w:szCs w:val="26"/>
        </w:rPr>
        <w:t>, una percentuale del 14 per cento è andata alle banche per il loro servizio, il 34 circa per cento è stato speso per IVA e oneri sociali, il 13-14 per cento è stato destinato ai nuovi soggetti entrati nel mercato (piattaforme, grandi società di consulenza) e quindi all’attività edilizia specifica è stato destinato circa il 41 per cento delle risorse.</w:t>
      </w:r>
    </w:p>
    <w:p w14:paraId="72F755BB" w14:textId="4AB37D1D" w:rsidR="009C2AB2" w:rsidRPr="0077427C" w:rsidRDefault="009C2AB2" w:rsidP="009C2AB2">
      <w:pPr>
        <w:rPr>
          <w:rFonts w:ascii="Times New Roman" w:hAnsi="Times New Roman"/>
          <w:sz w:val="26"/>
          <w:szCs w:val="26"/>
        </w:rPr>
      </w:pPr>
      <w:r w:rsidRPr="0077427C">
        <w:rPr>
          <w:rFonts w:ascii="Times New Roman" w:hAnsi="Times New Roman"/>
          <w:sz w:val="26"/>
          <w:szCs w:val="26"/>
        </w:rPr>
        <w:t>Secondo le conclusioni del CRESME, quindi, lo strumento del superbonus andrebbe valutato più che come un incentivo, come un investimento, stanti anche i risultati in termini di riduzione di CO2</w:t>
      </w:r>
      <w:r w:rsidR="00B77308" w:rsidRPr="0077427C">
        <w:rPr>
          <w:rFonts w:ascii="Times New Roman" w:hAnsi="Times New Roman"/>
          <w:sz w:val="26"/>
          <w:szCs w:val="26"/>
        </w:rPr>
        <w:t xml:space="preserve"> (2,53 milioni di tonnellate di CO2 risparmiate nel 2022)</w:t>
      </w:r>
      <w:r w:rsidRPr="0077427C">
        <w:rPr>
          <w:rFonts w:ascii="Times New Roman" w:hAnsi="Times New Roman"/>
          <w:sz w:val="26"/>
          <w:szCs w:val="26"/>
        </w:rPr>
        <w:t>, di occupazione nel settore delle costruzioni e di forte impatto sulla crescita del PIL (circa il 22 per cento nel 2022). Tuttavia, secondo il CRESME</w:t>
      </w:r>
      <w:r w:rsidR="0022063D" w:rsidRPr="0077427C">
        <w:rPr>
          <w:rFonts w:ascii="Times New Roman" w:hAnsi="Times New Roman"/>
          <w:sz w:val="26"/>
          <w:szCs w:val="26"/>
        </w:rPr>
        <w:t>,</w:t>
      </w:r>
      <w:r w:rsidRPr="0077427C">
        <w:rPr>
          <w:rFonts w:ascii="Times New Roman" w:hAnsi="Times New Roman"/>
          <w:sz w:val="26"/>
          <w:szCs w:val="26"/>
        </w:rPr>
        <w:t xml:space="preserve"> sia la misura del 110 per cento sia il tempo di applicazione dello strumento andrebbero rivisti, perché hanno portato ad una minore attenzione </w:t>
      </w:r>
      <w:r w:rsidR="002D5386" w:rsidRPr="0077427C">
        <w:rPr>
          <w:rFonts w:ascii="Times New Roman" w:hAnsi="Times New Roman"/>
          <w:sz w:val="26"/>
          <w:szCs w:val="26"/>
        </w:rPr>
        <w:t>a</w:t>
      </w:r>
      <w:r w:rsidRPr="0077427C">
        <w:rPr>
          <w:rFonts w:ascii="Times New Roman" w:hAnsi="Times New Roman"/>
          <w:sz w:val="26"/>
          <w:szCs w:val="26"/>
        </w:rPr>
        <w:t>i costi e a</w:t>
      </w:r>
      <w:r w:rsidR="002D5386" w:rsidRPr="0077427C">
        <w:rPr>
          <w:rFonts w:ascii="Times New Roman" w:hAnsi="Times New Roman"/>
          <w:sz w:val="26"/>
          <w:szCs w:val="26"/>
        </w:rPr>
        <w:t>lla</w:t>
      </w:r>
      <w:r w:rsidRPr="0077427C">
        <w:rPr>
          <w:rFonts w:ascii="Times New Roman" w:hAnsi="Times New Roman"/>
          <w:sz w:val="26"/>
          <w:szCs w:val="26"/>
        </w:rPr>
        <w:t xml:space="preserve"> domanda anomala, concentrata nel tempo, che ha schiacciato il sistema dell’offerta. Una percentuale minore in un tempo più lungo porterebbe a risultati migliori.</w:t>
      </w:r>
    </w:p>
    <w:p w14:paraId="15A0E318" w14:textId="77777777" w:rsidR="009C2AB2" w:rsidRPr="0077427C" w:rsidRDefault="009C2AB2" w:rsidP="009C2AB2">
      <w:pPr>
        <w:rPr>
          <w:rFonts w:ascii="Times New Roman" w:hAnsi="Times New Roman"/>
          <w:sz w:val="26"/>
          <w:szCs w:val="26"/>
        </w:rPr>
      </w:pPr>
    </w:p>
    <w:p w14:paraId="5834C272" w14:textId="77777777" w:rsidR="009C2AB2" w:rsidRPr="0077427C" w:rsidRDefault="00EB4E60" w:rsidP="009C2AB2">
      <w:pPr>
        <w:rPr>
          <w:rFonts w:ascii="Times New Roman" w:hAnsi="Times New Roman"/>
          <w:i/>
          <w:sz w:val="26"/>
          <w:szCs w:val="26"/>
        </w:rPr>
      </w:pPr>
      <w:r w:rsidRPr="0077427C">
        <w:rPr>
          <w:rFonts w:ascii="Times New Roman" w:hAnsi="Times New Roman"/>
          <w:b/>
          <w:sz w:val="26"/>
          <w:szCs w:val="26"/>
        </w:rPr>
        <w:t>Giovanni Legnini, Commissario delegato dal Capo del Dipartimento della Protezione civile ad Ischia</w:t>
      </w:r>
      <w:r w:rsidR="00371480" w:rsidRPr="0077427C">
        <w:rPr>
          <w:rFonts w:ascii="Times New Roman" w:hAnsi="Times New Roman"/>
          <w:i/>
          <w:sz w:val="26"/>
          <w:szCs w:val="26"/>
        </w:rPr>
        <w:t xml:space="preserve"> </w:t>
      </w:r>
    </w:p>
    <w:p w14:paraId="1DAC0947" w14:textId="29AF3A30" w:rsidR="00A50938" w:rsidRPr="0077427C" w:rsidRDefault="0096330E" w:rsidP="009C2AB2">
      <w:pPr>
        <w:rPr>
          <w:rFonts w:ascii="Times New Roman" w:hAnsi="Times New Roman"/>
          <w:sz w:val="26"/>
          <w:szCs w:val="26"/>
        </w:rPr>
      </w:pPr>
      <w:r w:rsidRPr="0077427C">
        <w:rPr>
          <w:rFonts w:ascii="Times New Roman" w:hAnsi="Times New Roman"/>
          <w:sz w:val="26"/>
          <w:szCs w:val="26"/>
        </w:rPr>
        <w:t>Il Commissario</w:t>
      </w:r>
      <w:r w:rsidR="009C2AB2" w:rsidRPr="0077427C">
        <w:rPr>
          <w:rFonts w:ascii="Times New Roman" w:hAnsi="Times New Roman"/>
          <w:sz w:val="26"/>
          <w:szCs w:val="26"/>
        </w:rPr>
        <w:t xml:space="preserve"> Legnini, </w:t>
      </w:r>
      <w:r w:rsidRPr="0077427C">
        <w:rPr>
          <w:rFonts w:ascii="Times New Roman" w:hAnsi="Times New Roman"/>
          <w:sz w:val="26"/>
          <w:szCs w:val="26"/>
        </w:rPr>
        <w:t>nell’audizione del 25 maggio 2023</w:t>
      </w:r>
      <w:r w:rsidRPr="0077427C">
        <w:rPr>
          <w:rFonts w:ascii="Times New Roman" w:hAnsi="Times New Roman"/>
          <w:i/>
          <w:sz w:val="26"/>
          <w:szCs w:val="26"/>
        </w:rPr>
        <w:t xml:space="preserve">, </w:t>
      </w:r>
      <w:r w:rsidR="009C2AB2" w:rsidRPr="0077427C">
        <w:rPr>
          <w:rFonts w:ascii="Times New Roman" w:hAnsi="Times New Roman"/>
          <w:sz w:val="26"/>
          <w:szCs w:val="26"/>
        </w:rPr>
        <w:t xml:space="preserve">ha espresso un giudizio complessivamente positivo sugli incentivi fiscali – </w:t>
      </w:r>
      <w:r w:rsidR="009C2AB2" w:rsidRPr="0077427C">
        <w:rPr>
          <w:rFonts w:ascii="Times New Roman" w:hAnsi="Times New Roman"/>
          <w:i/>
          <w:sz w:val="26"/>
          <w:szCs w:val="26"/>
        </w:rPr>
        <w:t>ecobonus</w:t>
      </w:r>
      <w:r w:rsidR="009C2AB2" w:rsidRPr="0077427C">
        <w:rPr>
          <w:rFonts w:ascii="Times New Roman" w:hAnsi="Times New Roman"/>
          <w:sz w:val="26"/>
          <w:szCs w:val="26"/>
        </w:rPr>
        <w:t xml:space="preserve">, </w:t>
      </w:r>
      <w:proofErr w:type="spellStart"/>
      <w:r w:rsidR="009C2AB2" w:rsidRPr="0077427C">
        <w:rPr>
          <w:rFonts w:ascii="Times New Roman" w:hAnsi="Times New Roman"/>
          <w:i/>
          <w:sz w:val="26"/>
          <w:szCs w:val="26"/>
        </w:rPr>
        <w:t>sismabonus</w:t>
      </w:r>
      <w:proofErr w:type="spellEnd"/>
      <w:r w:rsidR="009C2AB2" w:rsidRPr="0077427C">
        <w:rPr>
          <w:rFonts w:ascii="Times New Roman" w:hAnsi="Times New Roman"/>
          <w:sz w:val="26"/>
          <w:szCs w:val="26"/>
        </w:rPr>
        <w:t xml:space="preserve"> e </w:t>
      </w:r>
      <w:r w:rsidR="009C2AB2" w:rsidRPr="0077427C">
        <w:rPr>
          <w:rFonts w:ascii="Times New Roman" w:hAnsi="Times New Roman"/>
          <w:i/>
          <w:sz w:val="26"/>
          <w:szCs w:val="26"/>
        </w:rPr>
        <w:t>superbonus</w:t>
      </w:r>
      <w:r w:rsidR="009C2AB2" w:rsidRPr="0077427C">
        <w:rPr>
          <w:rFonts w:ascii="Times New Roman" w:hAnsi="Times New Roman"/>
          <w:sz w:val="26"/>
          <w:szCs w:val="26"/>
        </w:rPr>
        <w:t xml:space="preserve"> – </w:t>
      </w:r>
      <w:r w:rsidR="00A50938" w:rsidRPr="0077427C">
        <w:rPr>
          <w:rFonts w:ascii="Times New Roman" w:hAnsi="Times New Roman"/>
          <w:sz w:val="26"/>
          <w:szCs w:val="26"/>
        </w:rPr>
        <w:t xml:space="preserve">rilevando come soprattutto le ultime due misure si sono rivelate efficaci </w:t>
      </w:r>
      <w:r w:rsidR="009C2AB2" w:rsidRPr="0077427C">
        <w:rPr>
          <w:rFonts w:ascii="Times New Roman" w:hAnsi="Times New Roman"/>
          <w:sz w:val="26"/>
          <w:szCs w:val="26"/>
        </w:rPr>
        <w:t>per la ricostruzione post sisma</w:t>
      </w:r>
      <w:r w:rsidR="00A50938" w:rsidRPr="0077427C">
        <w:rPr>
          <w:rFonts w:ascii="Times New Roman" w:hAnsi="Times New Roman"/>
          <w:sz w:val="26"/>
          <w:szCs w:val="26"/>
        </w:rPr>
        <w:t>.</w:t>
      </w:r>
    </w:p>
    <w:p w14:paraId="2662D41C" w14:textId="77777777" w:rsidR="00A50938" w:rsidRPr="0077427C" w:rsidRDefault="00A50938" w:rsidP="00A50938">
      <w:pPr>
        <w:ind w:firstLine="0"/>
        <w:rPr>
          <w:rFonts w:ascii="Times New Roman" w:hAnsi="Times New Roman"/>
          <w:sz w:val="26"/>
          <w:szCs w:val="26"/>
        </w:rPr>
      </w:pPr>
      <w:r w:rsidRPr="0077427C">
        <w:rPr>
          <w:rFonts w:ascii="Times New Roman" w:hAnsi="Times New Roman"/>
          <w:sz w:val="26"/>
          <w:szCs w:val="26"/>
        </w:rPr>
        <w:tab/>
      </w:r>
      <w:r w:rsidR="009C2AB2" w:rsidRPr="0077427C">
        <w:rPr>
          <w:rFonts w:ascii="Times New Roman" w:hAnsi="Times New Roman"/>
          <w:sz w:val="26"/>
          <w:szCs w:val="26"/>
        </w:rPr>
        <w:t>Ha rilevato infatti come l’efficientamento energetico</w:t>
      </w:r>
      <w:r w:rsidR="002025AF" w:rsidRPr="0077427C">
        <w:rPr>
          <w:rFonts w:ascii="Times New Roman" w:hAnsi="Times New Roman"/>
          <w:sz w:val="26"/>
          <w:szCs w:val="26"/>
        </w:rPr>
        <w:t xml:space="preserve"> o la messa in sicurezza sismica dell’edificio</w:t>
      </w:r>
      <w:r w:rsidR="009C2AB2" w:rsidRPr="0077427C">
        <w:rPr>
          <w:rFonts w:ascii="Times New Roman" w:hAnsi="Times New Roman"/>
          <w:sz w:val="26"/>
          <w:szCs w:val="26"/>
        </w:rPr>
        <w:t xml:space="preserve">, che in una situazione normale è una scelta opzionale per il cittadino, diventa una necessità nella ricostruzione post sisma. </w:t>
      </w:r>
    </w:p>
    <w:p w14:paraId="7B146820" w14:textId="3D1A908C" w:rsidR="009C2AB2" w:rsidRPr="0077427C" w:rsidRDefault="00A50938" w:rsidP="00A50938">
      <w:pPr>
        <w:ind w:firstLine="0"/>
        <w:rPr>
          <w:rFonts w:ascii="Times New Roman" w:hAnsi="Times New Roman"/>
          <w:b/>
          <w:sz w:val="26"/>
          <w:szCs w:val="26"/>
        </w:rPr>
      </w:pPr>
      <w:r w:rsidRPr="0077427C">
        <w:rPr>
          <w:rFonts w:ascii="Times New Roman" w:hAnsi="Times New Roman"/>
          <w:sz w:val="26"/>
          <w:szCs w:val="26"/>
        </w:rPr>
        <w:tab/>
      </w:r>
      <w:r w:rsidR="00A11338" w:rsidRPr="0077427C">
        <w:rPr>
          <w:rFonts w:ascii="Times New Roman" w:hAnsi="Times New Roman"/>
          <w:b/>
          <w:sz w:val="26"/>
          <w:szCs w:val="26"/>
        </w:rPr>
        <w:t>Sempre n</w:t>
      </w:r>
      <w:r w:rsidRPr="0077427C">
        <w:rPr>
          <w:rFonts w:ascii="Times New Roman" w:hAnsi="Times New Roman"/>
          <w:b/>
          <w:sz w:val="26"/>
          <w:szCs w:val="26"/>
        </w:rPr>
        <w:t xml:space="preserve">ell’ambito della ricostruzione, il Commissario ha osservato che i bonus edilizi hanno determinato un miglioramento soprattutto dell’efficienza energetica degli edifici, mentre sul versante </w:t>
      </w:r>
      <w:r w:rsidR="002025AF" w:rsidRPr="0077427C">
        <w:rPr>
          <w:rFonts w:ascii="Times New Roman" w:hAnsi="Times New Roman"/>
          <w:b/>
          <w:sz w:val="26"/>
          <w:szCs w:val="26"/>
        </w:rPr>
        <w:t xml:space="preserve">della </w:t>
      </w:r>
      <w:r w:rsidR="009C2AB2" w:rsidRPr="0077427C">
        <w:rPr>
          <w:rFonts w:ascii="Times New Roman" w:hAnsi="Times New Roman"/>
          <w:b/>
          <w:sz w:val="26"/>
          <w:szCs w:val="26"/>
        </w:rPr>
        <w:t>sicurezza sismica le discipline speciali garantiscono un quadro regolatorio adeguato</w:t>
      </w:r>
      <w:r w:rsidRPr="0077427C">
        <w:rPr>
          <w:rFonts w:ascii="Times New Roman" w:hAnsi="Times New Roman"/>
          <w:b/>
          <w:sz w:val="26"/>
          <w:szCs w:val="26"/>
        </w:rPr>
        <w:t>,</w:t>
      </w:r>
      <w:r w:rsidR="009C2AB2" w:rsidRPr="0077427C">
        <w:rPr>
          <w:rFonts w:ascii="Times New Roman" w:hAnsi="Times New Roman"/>
          <w:b/>
          <w:sz w:val="26"/>
          <w:szCs w:val="26"/>
        </w:rPr>
        <w:t xml:space="preserve"> </w:t>
      </w:r>
      <w:r w:rsidRPr="0077427C">
        <w:rPr>
          <w:rFonts w:ascii="Times New Roman" w:hAnsi="Times New Roman"/>
          <w:b/>
          <w:sz w:val="26"/>
          <w:szCs w:val="26"/>
        </w:rPr>
        <w:t xml:space="preserve">che fa sì </w:t>
      </w:r>
      <w:proofErr w:type="gramStart"/>
      <w:r w:rsidRPr="0077427C">
        <w:rPr>
          <w:rFonts w:ascii="Times New Roman" w:hAnsi="Times New Roman"/>
          <w:b/>
          <w:sz w:val="26"/>
          <w:szCs w:val="26"/>
        </w:rPr>
        <w:t>che</w:t>
      </w:r>
      <w:proofErr w:type="gramEnd"/>
      <w:r w:rsidRPr="0077427C">
        <w:rPr>
          <w:rFonts w:ascii="Times New Roman" w:hAnsi="Times New Roman"/>
          <w:b/>
          <w:sz w:val="26"/>
          <w:szCs w:val="26"/>
        </w:rPr>
        <w:t xml:space="preserve"> </w:t>
      </w:r>
      <w:r w:rsidR="009C2AB2" w:rsidRPr="0077427C">
        <w:rPr>
          <w:rFonts w:ascii="Times New Roman" w:hAnsi="Times New Roman"/>
          <w:b/>
          <w:sz w:val="26"/>
          <w:szCs w:val="26"/>
        </w:rPr>
        <w:t xml:space="preserve">per quanto i </w:t>
      </w:r>
      <w:r w:rsidR="009C2AB2" w:rsidRPr="0077427C">
        <w:rPr>
          <w:rFonts w:ascii="Times New Roman" w:hAnsi="Times New Roman"/>
          <w:b/>
          <w:i/>
          <w:sz w:val="26"/>
          <w:szCs w:val="26"/>
        </w:rPr>
        <w:t xml:space="preserve">bonus </w:t>
      </w:r>
      <w:r w:rsidR="009C2AB2" w:rsidRPr="0077427C">
        <w:rPr>
          <w:rFonts w:ascii="Times New Roman" w:hAnsi="Times New Roman"/>
          <w:b/>
          <w:sz w:val="26"/>
          <w:szCs w:val="26"/>
        </w:rPr>
        <w:t>edilizi</w:t>
      </w:r>
      <w:r w:rsidR="009C2AB2" w:rsidRPr="0077427C">
        <w:rPr>
          <w:rFonts w:ascii="Times New Roman" w:hAnsi="Times New Roman"/>
          <w:b/>
          <w:i/>
          <w:sz w:val="26"/>
          <w:szCs w:val="26"/>
        </w:rPr>
        <w:t xml:space="preserve"> </w:t>
      </w:r>
      <w:r w:rsidR="009C2AB2" w:rsidRPr="0077427C">
        <w:rPr>
          <w:rFonts w:ascii="Times New Roman" w:hAnsi="Times New Roman"/>
          <w:b/>
          <w:sz w:val="26"/>
          <w:szCs w:val="26"/>
        </w:rPr>
        <w:t>possano avere un effetto, quell’effetto per larga parte si potrebbe cogliere anche prescindendo da</w:t>
      </w:r>
      <w:r w:rsidRPr="0077427C">
        <w:rPr>
          <w:rFonts w:ascii="Times New Roman" w:hAnsi="Times New Roman"/>
          <w:b/>
          <w:sz w:val="26"/>
          <w:szCs w:val="26"/>
        </w:rPr>
        <w:t xml:space="preserve"> tali misure.</w:t>
      </w:r>
      <w:r w:rsidR="009C2AB2" w:rsidRPr="0077427C">
        <w:rPr>
          <w:rFonts w:ascii="Times New Roman" w:hAnsi="Times New Roman"/>
          <w:b/>
          <w:sz w:val="26"/>
          <w:szCs w:val="26"/>
        </w:rPr>
        <w:t xml:space="preserve"> </w:t>
      </w:r>
    </w:p>
    <w:p w14:paraId="58EB9639" w14:textId="77777777" w:rsidR="009C2AB2" w:rsidRPr="0077427C" w:rsidRDefault="009C2AB2" w:rsidP="009C2AB2">
      <w:pPr>
        <w:rPr>
          <w:rFonts w:ascii="Times New Roman" w:hAnsi="Times New Roman"/>
          <w:sz w:val="26"/>
          <w:szCs w:val="26"/>
        </w:rPr>
      </w:pPr>
      <w:r w:rsidRPr="0077427C">
        <w:rPr>
          <w:rFonts w:ascii="Times New Roman" w:hAnsi="Times New Roman"/>
          <w:sz w:val="26"/>
          <w:szCs w:val="26"/>
        </w:rPr>
        <w:t xml:space="preserve">Il Commissario Legnini ha evidenziato inoltre come, per evitare gli effetti distorsivi che si erano determinati </w:t>
      </w:r>
      <w:r w:rsidR="002025AF" w:rsidRPr="0077427C">
        <w:rPr>
          <w:rFonts w:ascii="Times New Roman" w:hAnsi="Times New Roman"/>
          <w:sz w:val="26"/>
          <w:szCs w:val="26"/>
        </w:rPr>
        <w:t xml:space="preserve">con </w:t>
      </w:r>
      <w:r w:rsidRPr="0077427C">
        <w:rPr>
          <w:rFonts w:ascii="Times New Roman" w:hAnsi="Times New Roman"/>
          <w:sz w:val="26"/>
          <w:szCs w:val="26"/>
        </w:rPr>
        <w:t xml:space="preserve">l’introduzione massiccia del </w:t>
      </w:r>
      <w:r w:rsidRPr="0077427C">
        <w:rPr>
          <w:rFonts w:ascii="Times New Roman" w:hAnsi="Times New Roman"/>
          <w:i/>
          <w:sz w:val="26"/>
          <w:szCs w:val="26"/>
        </w:rPr>
        <w:t>superbonus</w:t>
      </w:r>
      <w:r w:rsidRPr="0077427C">
        <w:rPr>
          <w:rFonts w:ascii="Times New Roman" w:hAnsi="Times New Roman"/>
          <w:sz w:val="26"/>
          <w:szCs w:val="26"/>
        </w:rPr>
        <w:t xml:space="preserve"> nelle ricostruzioni e che avevano creato una sorta di competizione nel mercato delle professioni e delle imprese, </w:t>
      </w:r>
      <w:r w:rsidR="002025AF" w:rsidRPr="0077427C">
        <w:rPr>
          <w:rFonts w:ascii="Times New Roman" w:hAnsi="Times New Roman"/>
          <w:sz w:val="26"/>
          <w:szCs w:val="26"/>
        </w:rPr>
        <w:t xml:space="preserve">è stato </w:t>
      </w:r>
      <w:r w:rsidRPr="0077427C">
        <w:rPr>
          <w:rFonts w:ascii="Times New Roman" w:hAnsi="Times New Roman"/>
          <w:sz w:val="26"/>
          <w:szCs w:val="26"/>
        </w:rPr>
        <w:t xml:space="preserve">previsto che il superbonus potesse aggiungersi e integrare il contributo di ricostruzione, il che ha consentito di coprire con il </w:t>
      </w:r>
      <w:r w:rsidRPr="0077427C">
        <w:rPr>
          <w:rFonts w:ascii="Times New Roman" w:hAnsi="Times New Roman"/>
          <w:i/>
          <w:sz w:val="26"/>
          <w:szCs w:val="26"/>
        </w:rPr>
        <w:t>superbonus</w:t>
      </w:r>
      <w:r w:rsidRPr="0077427C">
        <w:rPr>
          <w:rFonts w:ascii="Times New Roman" w:hAnsi="Times New Roman"/>
          <w:sz w:val="26"/>
          <w:szCs w:val="26"/>
        </w:rPr>
        <w:t xml:space="preserve"> gli accolli (ossia la quota parte di intervento che rimaneva comunque a carico del cittadino).</w:t>
      </w:r>
    </w:p>
    <w:p w14:paraId="60EEF99F" w14:textId="62A91617" w:rsidR="009C2AB2" w:rsidRPr="0077427C" w:rsidRDefault="009C2AB2" w:rsidP="009C2AB2">
      <w:pPr>
        <w:rPr>
          <w:rFonts w:ascii="Times New Roman" w:hAnsi="Times New Roman"/>
          <w:sz w:val="26"/>
          <w:szCs w:val="26"/>
        </w:rPr>
      </w:pPr>
      <w:r w:rsidRPr="0077427C">
        <w:rPr>
          <w:rFonts w:ascii="Times New Roman" w:hAnsi="Times New Roman"/>
          <w:sz w:val="26"/>
          <w:szCs w:val="26"/>
        </w:rPr>
        <w:t>Il Commissario ha quindi ricordato che per fare in modo che il quadro regolatorio fosse più semplice possibile si determinò di elaborare con l’Agenzia delle entrate una guida operativa semplificando al massimo la coniugazione tra questi due strumenti di carattere finanziario</w:t>
      </w:r>
      <w:r w:rsidR="005B0B81" w:rsidRPr="0077427C">
        <w:rPr>
          <w:rFonts w:ascii="Times New Roman" w:hAnsi="Times New Roman"/>
          <w:sz w:val="26"/>
          <w:szCs w:val="26"/>
        </w:rPr>
        <w:t xml:space="preserve">, al fine di consentire un’applicazione </w:t>
      </w:r>
      <w:r w:rsidR="002025AF" w:rsidRPr="0077427C">
        <w:rPr>
          <w:rFonts w:ascii="Times New Roman" w:hAnsi="Times New Roman"/>
          <w:sz w:val="26"/>
          <w:szCs w:val="26"/>
        </w:rPr>
        <w:t xml:space="preserve">il più possibile estesa dei bonus per l’efficienza energetica degli edifici </w:t>
      </w:r>
      <w:proofErr w:type="spellStart"/>
      <w:r w:rsidR="002025AF" w:rsidRPr="0077427C">
        <w:rPr>
          <w:rFonts w:ascii="Times New Roman" w:hAnsi="Times New Roman"/>
          <w:sz w:val="26"/>
          <w:szCs w:val="26"/>
        </w:rPr>
        <w:t>ricostruendi</w:t>
      </w:r>
      <w:proofErr w:type="spellEnd"/>
      <w:r w:rsidR="002025AF" w:rsidRPr="0077427C">
        <w:rPr>
          <w:rFonts w:ascii="Times New Roman" w:hAnsi="Times New Roman"/>
          <w:sz w:val="26"/>
          <w:szCs w:val="26"/>
        </w:rPr>
        <w:t xml:space="preserve">. </w:t>
      </w:r>
    </w:p>
    <w:p w14:paraId="4AEB3EB3" w14:textId="77777777" w:rsidR="009C2AB2" w:rsidRPr="0077427C" w:rsidRDefault="009C2AB2" w:rsidP="009C2AB2">
      <w:pPr>
        <w:rPr>
          <w:rFonts w:ascii="Times New Roman" w:hAnsi="Times New Roman"/>
          <w:sz w:val="26"/>
          <w:szCs w:val="26"/>
        </w:rPr>
      </w:pPr>
      <w:r w:rsidRPr="0077427C">
        <w:rPr>
          <w:rFonts w:ascii="Times New Roman" w:hAnsi="Times New Roman"/>
          <w:sz w:val="26"/>
          <w:szCs w:val="26"/>
        </w:rPr>
        <w:t xml:space="preserve">Il Commissario ha poi sottolineato la positiva conclusione, sul versante degli edifici pubblici, in particolare scolastici, di un accordo con il GSE per l’utilizzo del conto termico, evidenziando lo scarsissimo ricorso da parte delle istituzioni pubbliche a questo importante strumento che dedica alla finalità del miglioramento energetico circa 200 milioni all’anno, in larga parte inutilizzati. </w:t>
      </w:r>
    </w:p>
    <w:p w14:paraId="3DD12F1F" w14:textId="77777777" w:rsidR="009C2AB2" w:rsidRPr="0077427C" w:rsidRDefault="009C2AB2" w:rsidP="009C2AB2">
      <w:pPr>
        <w:rPr>
          <w:rFonts w:ascii="Times New Roman" w:hAnsi="Times New Roman"/>
          <w:sz w:val="26"/>
          <w:szCs w:val="26"/>
        </w:rPr>
      </w:pPr>
      <w:proofErr w:type="gramStart"/>
      <w:r w:rsidRPr="0077427C">
        <w:rPr>
          <w:rFonts w:ascii="Times New Roman" w:hAnsi="Times New Roman"/>
          <w:sz w:val="26"/>
          <w:szCs w:val="26"/>
        </w:rPr>
        <w:t>Inoltre</w:t>
      </w:r>
      <w:proofErr w:type="gramEnd"/>
      <w:r w:rsidRPr="0077427C">
        <w:rPr>
          <w:rFonts w:ascii="Times New Roman" w:hAnsi="Times New Roman"/>
          <w:sz w:val="26"/>
          <w:szCs w:val="26"/>
        </w:rPr>
        <w:t xml:space="preserve"> il Commissario ha fatto riferimento all’importanza delle comunità energetiche, utili a chi non riesce a dotare la propria abitazione di standard alti di efficienza energetica. </w:t>
      </w:r>
    </w:p>
    <w:p w14:paraId="1D0986CA" w14:textId="77777777" w:rsidR="009C2AB2" w:rsidRPr="0077427C" w:rsidRDefault="009C2AB2" w:rsidP="009C2AB2">
      <w:pPr>
        <w:rPr>
          <w:rFonts w:ascii="Times New Roman" w:hAnsi="Times New Roman"/>
          <w:sz w:val="26"/>
          <w:szCs w:val="26"/>
        </w:rPr>
      </w:pPr>
      <w:r w:rsidRPr="0077427C">
        <w:rPr>
          <w:rFonts w:ascii="Times New Roman" w:hAnsi="Times New Roman"/>
          <w:sz w:val="26"/>
          <w:szCs w:val="26"/>
        </w:rPr>
        <w:t>In conclusione, il Commissario ha rilevato l’opportunità di un uso più massiccio degli incentivi edilizi nella ricostruzione e negli interventi post catastrofe naturale, soprattutto per gli interventi di immediata riparazione, a minore impatto, perché le procedure ormai consolidate di utilizzo degli incentivi fiscali per il recupero dell’efficienza energetica degli edifici consentono al cittadino, attraverso il proprio professionista, di intervenire immediatamente senza attendere le procedure e la programmazione della ricostruzione.</w:t>
      </w:r>
    </w:p>
    <w:p w14:paraId="1184B4A6" w14:textId="77777777" w:rsidR="00901FE4" w:rsidRPr="0077427C" w:rsidRDefault="00901FE4" w:rsidP="009C2AB2">
      <w:pPr>
        <w:ind w:firstLine="0"/>
        <w:rPr>
          <w:rFonts w:ascii="Times New Roman" w:hAnsi="Times New Roman"/>
          <w:sz w:val="26"/>
          <w:szCs w:val="26"/>
        </w:rPr>
      </w:pPr>
    </w:p>
    <w:p w14:paraId="2B12FFCD" w14:textId="77777777" w:rsidR="00EB4E60" w:rsidRPr="0077427C" w:rsidRDefault="00EB4E60" w:rsidP="00EB4E60">
      <w:pPr>
        <w:rPr>
          <w:rFonts w:ascii="Times New Roman" w:hAnsi="Times New Roman"/>
          <w:i/>
          <w:sz w:val="26"/>
          <w:szCs w:val="26"/>
        </w:rPr>
      </w:pPr>
      <w:r w:rsidRPr="0077427C">
        <w:rPr>
          <w:rFonts w:ascii="Times New Roman" w:hAnsi="Times New Roman"/>
          <w:b/>
          <w:sz w:val="26"/>
          <w:szCs w:val="26"/>
        </w:rPr>
        <w:t>Associazione Nazionale Costruttori Edili (ANCE)</w:t>
      </w:r>
      <w:r w:rsidR="00371480" w:rsidRPr="0077427C">
        <w:rPr>
          <w:rFonts w:ascii="Times New Roman" w:hAnsi="Times New Roman"/>
          <w:i/>
          <w:sz w:val="26"/>
          <w:szCs w:val="26"/>
        </w:rPr>
        <w:t xml:space="preserve"> </w:t>
      </w:r>
    </w:p>
    <w:p w14:paraId="12EC177E" w14:textId="77777777" w:rsidR="009C2AB2" w:rsidRPr="0077427C" w:rsidRDefault="009C2AB2" w:rsidP="00364876">
      <w:pPr>
        <w:rPr>
          <w:rFonts w:ascii="Times New Roman" w:hAnsi="Times New Roman"/>
          <w:i/>
          <w:sz w:val="26"/>
          <w:szCs w:val="26"/>
        </w:rPr>
      </w:pPr>
      <w:r w:rsidRPr="0077427C">
        <w:rPr>
          <w:rFonts w:ascii="Times New Roman" w:hAnsi="Times New Roman"/>
          <w:sz w:val="26"/>
          <w:szCs w:val="26"/>
        </w:rPr>
        <w:t>L’Associazione Nazionale Costruttori Edili (ANCE)</w:t>
      </w:r>
      <w:r w:rsidR="002025AF" w:rsidRPr="0077427C">
        <w:rPr>
          <w:rFonts w:ascii="Times New Roman" w:hAnsi="Times New Roman"/>
          <w:sz w:val="26"/>
          <w:szCs w:val="26"/>
        </w:rPr>
        <w:t>, nell’audizione del 31 maggio 2023,</w:t>
      </w:r>
      <w:r w:rsidRPr="0077427C">
        <w:rPr>
          <w:rFonts w:ascii="Times New Roman" w:hAnsi="Times New Roman"/>
          <w:sz w:val="26"/>
          <w:szCs w:val="26"/>
        </w:rPr>
        <w:t xml:space="preserve"> ha sottolineato che il </w:t>
      </w:r>
      <w:r w:rsidRPr="0077427C">
        <w:rPr>
          <w:rFonts w:ascii="Times New Roman" w:hAnsi="Times New Roman"/>
          <w:i/>
          <w:sz w:val="26"/>
          <w:szCs w:val="26"/>
        </w:rPr>
        <w:t>superbonus</w:t>
      </w:r>
      <w:r w:rsidRPr="0077427C">
        <w:rPr>
          <w:rFonts w:ascii="Times New Roman" w:hAnsi="Times New Roman"/>
          <w:sz w:val="26"/>
          <w:szCs w:val="26"/>
        </w:rPr>
        <w:t xml:space="preserve"> ha portato a più di 400 mila tonnellate di CO2 risparmiate in atmosfera (quindi a un risparmio di gas pari ai due terzi di quanto previsto dalle misure varate ad agosto 2022) e ha promosso una maggiore consapevolezza da parte di tutti i cittadini sull’importanza del risparmio energetico dell'abitazione. Secondo l’ANCE il superbonus ha inoltre fornito un contributo fondamentale alla crescita del PIL e all’incremento delle entrate fiscali e dell’occupazione (170 mila nuovi posti di lavoro derivano dai bonus fiscali in edilizia) e ha altresì avuto una forte valenza sociale redistributiva, sia spalmando i suoi effetti in maniera più uniforme sul territorio sia consentendo un maggiore accesso ai bonus edilizi per le fasce meno abbienti della popolazione. In </w:t>
      </w:r>
      <w:r w:rsidR="00040866" w:rsidRPr="0077427C">
        <w:rPr>
          <w:rFonts w:ascii="Times New Roman" w:hAnsi="Times New Roman"/>
          <w:sz w:val="26"/>
          <w:szCs w:val="26"/>
        </w:rPr>
        <w:t>proposito</w:t>
      </w:r>
      <w:r w:rsidRPr="0077427C">
        <w:rPr>
          <w:rFonts w:ascii="Times New Roman" w:hAnsi="Times New Roman"/>
          <w:sz w:val="26"/>
          <w:szCs w:val="26"/>
        </w:rPr>
        <w:t xml:space="preserve">, secondo l’ANCE, </w:t>
      </w:r>
      <w:r w:rsidR="00040866" w:rsidRPr="0077427C">
        <w:rPr>
          <w:rFonts w:ascii="Times New Roman" w:hAnsi="Times New Roman"/>
          <w:sz w:val="26"/>
          <w:szCs w:val="26"/>
        </w:rPr>
        <w:t>occorre valutare che</w:t>
      </w:r>
      <w:r w:rsidRPr="0077427C">
        <w:rPr>
          <w:rFonts w:ascii="Times New Roman" w:hAnsi="Times New Roman"/>
          <w:sz w:val="26"/>
          <w:szCs w:val="26"/>
        </w:rPr>
        <w:t xml:space="preserve"> oltre l'80 per cento degli interventi </w:t>
      </w:r>
      <w:r w:rsidR="00040866" w:rsidRPr="0077427C">
        <w:rPr>
          <w:rFonts w:ascii="Times New Roman" w:hAnsi="Times New Roman"/>
          <w:sz w:val="26"/>
          <w:szCs w:val="26"/>
        </w:rPr>
        <w:t xml:space="preserve">ha riguardato </w:t>
      </w:r>
      <w:r w:rsidRPr="0077427C">
        <w:rPr>
          <w:rFonts w:ascii="Times New Roman" w:hAnsi="Times New Roman"/>
          <w:sz w:val="26"/>
          <w:szCs w:val="26"/>
        </w:rPr>
        <w:t>le prime case.</w:t>
      </w:r>
    </w:p>
    <w:p w14:paraId="064E0336" w14:textId="77777777" w:rsidR="009C2AB2" w:rsidRPr="0077427C" w:rsidRDefault="009C2AB2" w:rsidP="009C2AB2">
      <w:pPr>
        <w:rPr>
          <w:rFonts w:ascii="Times New Roman" w:hAnsi="Times New Roman"/>
          <w:sz w:val="26"/>
          <w:szCs w:val="26"/>
        </w:rPr>
      </w:pPr>
      <w:r w:rsidRPr="0077427C">
        <w:rPr>
          <w:rFonts w:ascii="Times New Roman" w:hAnsi="Times New Roman"/>
          <w:sz w:val="26"/>
          <w:szCs w:val="26"/>
        </w:rPr>
        <w:t xml:space="preserve">Dal punto di vista dell’efficientamento energetico degli edifici, l’ANCE evidenzia che i risultati del </w:t>
      </w:r>
      <w:r w:rsidRPr="0077427C">
        <w:rPr>
          <w:rFonts w:ascii="Times New Roman" w:hAnsi="Times New Roman"/>
          <w:i/>
          <w:sz w:val="26"/>
          <w:szCs w:val="26"/>
        </w:rPr>
        <w:t>superbonus</w:t>
      </w:r>
      <w:r w:rsidRPr="0077427C">
        <w:rPr>
          <w:rFonts w:ascii="Times New Roman" w:hAnsi="Times New Roman"/>
          <w:sz w:val="26"/>
          <w:szCs w:val="26"/>
        </w:rPr>
        <w:t xml:space="preserve"> hanno spesso superato l’obiettivo del salto di due classi energetiche</w:t>
      </w:r>
      <w:r w:rsidR="00040866" w:rsidRPr="0077427C">
        <w:rPr>
          <w:rFonts w:ascii="Times New Roman" w:hAnsi="Times New Roman"/>
          <w:sz w:val="26"/>
          <w:szCs w:val="26"/>
        </w:rPr>
        <w:t xml:space="preserve"> </w:t>
      </w:r>
      <w:r w:rsidR="002946E3" w:rsidRPr="0077427C">
        <w:rPr>
          <w:rFonts w:ascii="Times New Roman" w:hAnsi="Times New Roman"/>
          <w:sz w:val="26"/>
          <w:szCs w:val="26"/>
        </w:rPr>
        <w:t xml:space="preserve">e </w:t>
      </w:r>
      <w:r w:rsidR="00040866" w:rsidRPr="0077427C">
        <w:rPr>
          <w:rFonts w:ascii="Times New Roman" w:hAnsi="Times New Roman"/>
          <w:sz w:val="26"/>
          <w:szCs w:val="26"/>
        </w:rPr>
        <w:t>che</w:t>
      </w:r>
      <w:r w:rsidRPr="0077427C">
        <w:rPr>
          <w:rFonts w:ascii="Times New Roman" w:hAnsi="Times New Roman"/>
          <w:sz w:val="26"/>
          <w:szCs w:val="26"/>
        </w:rPr>
        <w:t xml:space="preserve"> il 60% degli interventi ha consentito </w:t>
      </w:r>
      <w:r w:rsidR="00040866" w:rsidRPr="0077427C">
        <w:rPr>
          <w:rFonts w:ascii="Times New Roman" w:hAnsi="Times New Roman"/>
          <w:sz w:val="26"/>
          <w:szCs w:val="26"/>
        </w:rPr>
        <w:t>il passaggio alla</w:t>
      </w:r>
      <w:r w:rsidRPr="0077427C">
        <w:rPr>
          <w:rFonts w:ascii="Times New Roman" w:hAnsi="Times New Roman"/>
          <w:sz w:val="26"/>
          <w:szCs w:val="26"/>
        </w:rPr>
        <w:t xml:space="preserve"> classe A.</w:t>
      </w:r>
    </w:p>
    <w:p w14:paraId="79DDD833" w14:textId="6FD8CBEF" w:rsidR="009C2AB2" w:rsidRPr="0077427C" w:rsidRDefault="009C2AB2" w:rsidP="009C2AB2">
      <w:pPr>
        <w:rPr>
          <w:rFonts w:ascii="Times New Roman" w:hAnsi="Times New Roman"/>
          <w:sz w:val="26"/>
          <w:szCs w:val="26"/>
        </w:rPr>
      </w:pPr>
      <w:r w:rsidRPr="0077427C">
        <w:rPr>
          <w:rFonts w:ascii="Times New Roman" w:hAnsi="Times New Roman"/>
          <w:sz w:val="26"/>
          <w:szCs w:val="26"/>
        </w:rPr>
        <w:t xml:space="preserve">L’ANCE ha poi ricordato che nel PNRR è previsto l’obiettivo di raggiungere entro il 2025 </w:t>
      </w:r>
      <w:r w:rsidR="00F01088" w:rsidRPr="0077427C">
        <w:rPr>
          <w:rFonts w:ascii="Times New Roman" w:hAnsi="Times New Roman"/>
          <w:sz w:val="26"/>
          <w:szCs w:val="26"/>
        </w:rPr>
        <w:t xml:space="preserve">la ristrutturazione di </w:t>
      </w:r>
      <w:r w:rsidRPr="0077427C">
        <w:rPr>
          <w:rFonts w:ascii="Times New Roman" w:hAnsi="Times New Roman"/>
          <w:sz w:val="26"/>
          <w:szCs w:val="26"/>
        </w:rPr>
        <w:t>100 mila unità immobiliari e che tale obiettivo è stato raggiunto con due anni di anticipo proprio grazie al superbonus.</w:t>
      </w:r>
    </w:p>
    <w:p w14:paraId="4EBC1576" w14:textId="77777777" w:rsidR="009C2AB2" w:rsidRPr="0077427C" w:rsidRDefault="009C2AB2" w:rsidP="009C2AB2">
      <w:pPr>
        <w:rPr>
          <w:rFonts w:ascii="Times New Roman" w:hAnsi="Times New Roman"/>
          <w:sz w:val="26"/>
          <w:szCs w:val="26"/>
        </w:rPr>
      </w:pPr>
      <w:r w:rsidRPr="0077427C">
        <w:rPr>
          <w:rFonts w:ascii="Times New Roman" w:hAnsi="Times New Roman"/>
          <w:sz w:val="26"/>
          <w:szCs w:val="26"/>
        </w:rPr>
        <w:t xml:space="preserve">L’ANCE ha sottolineato, inoltre, </w:t>
      </w:r>
      <w:r w:rsidR="00765B25" w:rsidRPr="0077427C">
        <w:rPr>
          <w:rFonts w:ascii="Times New Roman" w:hAnsi="Times New Roman"/>
          <w:sz w:val="26"/>
          <w:szCs w:val="26"/>
        </w:rPr>
        <w:t>le criticità maggiori derivanti dai</w:t>
      </w:r>
      <w:r w:rsidRPr="0077427C">
        <w:rPr>
          <w:rFonts w:ascii="Times New Roman" w:hAnsi="Times New Roman"/>
          <w:sz w:val="26"/>
          <w:szCs w:val="26"/>
        </w:rPr>
        <w:t xml:space="preserve"> continui cambiamenti normativi che si sono registrati. Secondo l’ANCE i problemi da risolvere nel breve periodo sono due: il primo è cosa fare contro la mancanza di liquidità derivata dal blocco delle cessioni dei crediti; il secondo è l’urgenza di una proroga, perché al 31 dicembre 2023 le imprese avevano programmato di finire i lavori del 110 per cento, ma non avendo liquidità non sono più in grado di finirli. </w:t>
      </w:r>
    </w:p>
    <w:p w14:paraId="2090304D" w14:textId="77777777" w:rsidR="009C2AB2" w:rsidRPr="0077427C" w:rsidRDefault="009C2AB2" w:rsidP="009C2AB2">
      <w:pPr>
        <w:rPr>
          <w:rFonts w:ascii="Times New Roman" w:hAnsi="Times New Roman"/>
          <w:sz w:val="26"/>
          <w:szCs w:val="26"/>
        </w:rPr>
      </w:pPr>
      <w:r w:rsidRPr="0077427C">
        <w:rPr>
          <w:rFonts w:ascii="Times New Roman" w:hAnsi="Times New Roman"/>
          <w:sz w:val="26"/>
          <w:szCs w:val="26"/>
        </w:rPr>
        <w:t>In relazione all’impatto sulle casse dello Stato, l’ANCE sottolinea che per ogni miliardo speso, 470 milioni rientrano attraverso IVA, imposte, contributi e quant'altro, in forma esclusivamente diretta, e che secondo molti studi l'effetto è molto superiore in termini di indotto.</w:t>
      </w:r>
    </w:p>
    <w:p w14:paraId="5699CB0B" w14:textId="49473F17" w:rsidR="009C2AB2" w:rsidRPr="0077427C" w:rsidRDefault="009C2AB2" w:rsidP="009C2AB2">
      <w:pPr>
        <w:rPr>
          <w:rFonts w:ascii="Times New Roman" w:hAnsi="Times New Roman"/>
          <w:sz w:val="26"/>
          <w:szCs w:val="26"/>
        </w:rPr>
      </w:pPr>
      <w:r w:rsidRPr="0077427C">
        <w:rPr>
          <w:rFonts w:ascii="Times New Roman" w:hAnsi="Times New Roman"/>
          <w:sz w:val="26"/>
          <w:szCs w:val="26"/>
        </w:rPr>
        <w:t xml:space="preserve">In conclusione, secondo l’ANCE il meccanismo del </w:t>
      </w:r>
      <w:r w:rsidRPr="0077427C">
        <w:rPr>
          <w:rFonts w:ascii="Times New Roman" w:hAnsi="Times New Roman"/>
          <w:i/>
          <w:sz w:val="26"/>
          <w:szCs w:val="26"/>
        </w:rPr>
        <w:t>superbonus</w:t>
      </w:r>
      <w:r w:rsidRPr="0077427C">
        <w:rPr>
          <w:rFonts w:ascii="Times New Roman" w:hAnsi="Times New Roman"/>
          <w:sz w:val="26"/>
          <w:szCs w:val="26"/>
        </w:rPr>
        <w:t xml:space="preserve"> è funzionante, assolutamente replicabile e da salvaguardare per il futuro, evidentemente con una modularità in termini di aliquote e in termini di soggetti che ne hanno diritto in forma diretta, da ricalibrare sulla base delle esigenze di finanza pubblica.</w:t>
      </w:r>
    </w:p>
    <w:p w14:paraId="41FA78B3" w14:textId="69C9B2CA" w:rsidR="000277D4" w:rsidRPr="0077427C" w:rsidRDefault="000277D4" w:rsidP="009C2AB2">
      <w:pPr>
        <w:rPr>
          <w:rFonts w:ascii="Times New Roman" w:hAnsi="Times New Roman"/>
          <w:b/>
          <w:sz w:val="26"/>
          <w:szCs w:val="26"/>
        </w:rPr>
      </w:pPr>
      <w:r w:rsidRPr="0077427C">
        <w:rPr>
          <w:rFonts w:ascii="Times New Roman" w:hAnsi="Times New Roman"/>
          <w:b/>
          <w:sz w:val="26"/>
          <w:szCs w:val="26"/>
        </w:rPr>
        <w:t>Nel corso del dibattito è emersa l'importanza di promuovere la qualificazione delle imprese edili, in particolare di quelle che usufruiscono di incentivi fiscali, al fine di assicurare trasparenza, affidabilità e sicurezza nel settore. Ciò per rispondere anche alla crescente richiesta di qualità e responsabilità presente nelle nuove direttive europee sull'efficientamento energetico.</w:t>
      </w:r>
      <w:r w:rsidR="00E45DBA" w:rsidRPr="0077427C">
        <w:rPr>
          <w:rFonts w:ascii="Times New Roman" w:hAnsi="Times New Roman"/>
          <w:b/>
          <w:sz w:val="26"/>
          <w:szCs w:val="26"/>
        </w:rPr>
        <w:t xml:space="preserve"> </w:t>
      </w:r>
    </w:p>
    <w:p w14:paraId="650F535D" w14:textId="77777777" w:rsidR="009C2AB2" w:rsidRPr="0077427C" w:rsidRDefault="009C2AB2" w:rsidP="009C2AB2">
      <w:pPr>
        <w:rPr>
          <w:rFonts w:ascii="Times New Roman" w:hAnsi="Times New Roman"/>
          <w:sz w:val="26"/>
          <w:szCs w:val="26"/>
        </w:rPr>
      </w:pPr>
    </w:p>
    <w:p w14:paraId="17FE05FB" w14:textId="77777777" w:rsidR="00EB4E60" w:rsidRPr="0077427C" w:rsidRDefault="00EB4E60" w:rsidP="009C2AB2">
      <w:pPr>
        <w:rPr>
          <w:rFonts w:ascii="Times New Roman" w:hAnsi="Times New Roman"/>
          <w:b/>
          <w:sz w:val="26"/>
          <w:szCs w:val="26"/>
        </w:rPr>
      </w:pPr>
      <w:r w:rsidRPr="0077427C">
        <w:rPr>
          <w:rFonts w:ascii="Times New Roman" w:hAnsi="Times New Roman"/>
          <w:b/>
          <w:sz w:val="26"/>
          <w:szCs w:val="26"/>
        </w:rPr>
        <w:t>Federchimica-</w:t>
      </w:r>
      <w:proofErr w:type="spellStart"/>
      <w:r w:rsidRPr="0077427C">
        <w:rPr>
          <w:rFonts w:ascii="Times New Roman" w:hAnsi="Times New Roman"/>
          <w:b/>
          <w:sz w:val="26"/>
          <w:szCs w:val="26"/>
        </w:rPr>
        <w:t>Assogasliquidi</w:t>
      </w:r>
      <w:proofErr w:type="spellEnd"/>
      <w:r w:rsidR="00371480" w:rsidRPr="0077427C">
        <w:rPr>
          <w:rFonts w:ascii="Times New Roman" w:hAnsi="Times New Roman"/>
          <w:b/>
          <w:sz w:val="26"/>
          <w:szCs w:val="26"/>
        </w:rPr>
        <w:t xml:space="preserve"> </w:t>
      </w:r>
    </w:p>
    <w:p w14:paraId="073836F1" w14:textId="77777777" w:rsidR="009C2AB2" w:rsidRPr="0077427C" w:rsidRDefault="009C2AB2" w:rsidP="009C2AB2">
      <w:pPr>
        <w:rPr>
          <w:rFonts w:ascii="Times New Roman" w:hAnsi="Times New Roman"/>
          <w:sz w:val="26"/>
          <w:szCs w:val="26"/>
        </w:rPr>
      </w:pPr>
      <w:r w:rsidRPr="0077427C">
        <w:rPr>
          <w:rFonts w:ascii="Times New Roman" w:hAnsi="Times New Roman"/>
          <w:sz w:val="26"/>
          <w:szCs w:val="26"/>
        </w:rPr>
        <w:t>Federchimica-</w:t>
      </w:r>
      <w:proofErr w:type="spellStart"/>
      <w:r w:rsidRPr="0077427C">
        <w:rPr>
          <w:rFonts w:ascii="Times New Roman" w:hAnsi="Times New Roman"/>
          <w:sz w:val="26"/>
          <w:szCs w:val="26"/>
        </w:rPr>
        <w:t>Assogasliquidi</w:t>
      </w:r>
      <w:proofErr w:type="spellEnd"/>
      <w:r w:rsidRPr="0077427C">
        <w:rPr>
          <w:rFonts w:ascii="Times New Roman" w:hAnsi="Times New Roman"/>
          <w:sz w:val="26"/>
          <w:szCs w:val="26"/>
        </w:rPr>
        <w:t xml:space="preserve">, che rappresentano tutta la filiera della distribuzione del gas di petrolio liquefatto, </w:t>
      </w:r>
      <w:proofErr w:type="gramStart"/>
      <w:r w:rsidRPr="0077427C">
        <w:rPr>
          <w:rFonts w:ascii="Times New Roman" w:hAnsi="Times New Roman"/>
          <w:sz w:val="26"/>
          <w:szCs w:val="26"/>
        </w:rPr>
        <w:t>hanno evidenziato</w:t>
      </w:r>
      <w:proofErr w:type="gramEnd"/>
      <w:r w:rsidRPr="0077427C">
        <w:rPr>
          <w:rFonts w:ascii="Times New Roman" w:hAnsi="Times New Roman"/>
          <w:sz w:val="26"/>
          <w:szCs w:val="26"/>
        </w:rPr>
        <w:t>, in relazione alle emissioni in atmosfera, che il 55% del particolato deriva dal settore del riscaldamento e di queste emissioni oltre il 99% è riconducibile a emissioni di PM10 derivanti dall'impiego di biomassa legnosa. Facendo un confronto, nell’ambito del riscaldamento domestico, tra i generatori alimentati a biomassa solida più efficienti (quelli certificati “5 stelle”) e le caldaie a gas, emerge chiaramente come i fattori emissivi dei primi siano fino a cento volte superiori rispetto ai secondi. Anche l'utilizzo del vettore elettrico, come forma di alimentazione di una pompa idronica, non risulterebbe vantaggioso, e il GPL risulta migliore rispetto alla scelta elettrica in dieci delle sedici categorie esaminate.</w:t>
      </w:r>
    </w:p>
    <w:p w14:paraId="12A07D57" w14:textId="77777777" w:rsidR="009C2AB2" w:rsidRPr="0077427C" w:rsidRDefault="009C2AB2" w:rsidP="009C2AB2">
      <w:pPr>
        <w:rPr>
          <w:rFonts w:ascii="Times New Roman" w:hAnsi="Times New Roman"/>
          <w:sz w:val="26"/>
          <w:szCs w:val="26"/>
        </w:rPr>
      </w:pPr>
      <w:r w:rsidRPr="0077427C">
        <w:rPr>
          <w:rFonts w:ascii="Times New Roman" w:hAnsi="Times New Roman"/>
          <w:sz w:val="26"/>
          <w:szCs w:val="26"/>
        </w:rPr>
        <w:t>Per quanto riguarda gli sviluppi dell’industria del GPL, l’obiettivo è di avere nel 2030 la disponibilità di un prodotto costituito da almeno il 40% di fonti rinnovabili anche per il settore del riscaldamento domestico e più in generale degli utilizzi civili, industriali e agricoli. Per raggiungere gli obiettivi, secondo Federchimica-</w:t>
      </w:r>
      <w:proofErr w:type="spellStart"/>
      <w:r w:rsidRPr="0077427C">
        <w:rPr>
          <w:rFonts w:ascii="Times New Roman" w:hAnsi="Times New Roman"/>
          <w:sz w:val="26"/>
          <w:szCs w:val="26"/>
        </w:rPr>
        <w:t>Assogasliquidi</w:t>
      </w:r>
      <w:proofErr w:type="spellEnd"/>
      <w:r w:rsidRPr="0077427C">
        <w:rPr>
          <w:rFonts w:ascii="Times New Roman" w:hAnsi="Times New Roman"/>
          <w:sz w:val="26"/>
          <w:szCs w:val="26"/>
        </w:rPr>
        <w:t>, non servono divieti, come quello che l’UE vorrebbe introdurre dal 2029 per le caldaie a gas.</w:t>
      </w:r>
    </w:p>
    <w:p w14:paraId="31F53884" w14:textId="77777777" w:rsidR="009C2AB2" w:rsidRPr="0077427C" w:rsidRDefault="009C2AB2" w:rsidP="00D04C2C">
      <w:pPr>
        <w:rPr>
          <w:rFonts w:ascii="Times New Roman" w:hAnsi="Times New Roman"/>
          <w:sz w:val="26"/>
          <w:szCs w:val="26"/>
        </w:rPr>
      </w:pPr>
      <w:r w:rsidRPr="0077427C">
        <w:rPr>
          <w:rFonts w:ascii="Times New Roman" w:hAnsi="Times New Roman"/>
          <w:sz w:val="26"/>
          <w:szCs w:val="26"/>
        </w:rPr>
        <w:t>Secondo i rappresentanti di Federchimica-</w:t>
      </w:r>
      <w:proofErr w:type="spellStart"/>
      <w:r w:rsidRPr="0077427C">
        <w:rPr>
          <w:rFonts w:ascii="Times New Roman" w:hAnsi="Times New Roman"/>
          <w:sz w:val="26"/>
          <w:szCs w:val="26"/>
        </w:rPr>
        <w:t>Assogasliquidi</w:t>
      </w:r>
      <w:proofErr w:type="spellEnd"/>
      <w:r w:rsidRPr="0077427C">
        <w:rPr>
          <w:rFonts w:ascii="Times New Roman" w:hAnsi="Times New Roman"/>
          <w:sz w:val="26"/>
          <w:szCs w:val="26"/>
        </w:rPr>
        <w:t>, la sostituzione dello stock esistente con apparecchi efficienti e alimentati a gas rinnovabili è un'opportunità per decarbonizzare gli edifici in maniera efficace sotto il profilo costi-benefici, e determina altresì un impatto sociale nettamente inferiore. Perciò il gas decarbonizzato deve avere un ruolo chiave nel settore del riscaldamento in parallelo a quello dell'elettricità.</w:t>
      </w:r>
    </w:p>
    <w:p w14:paraId="2785E57D" w14:textId="77777777" w:rsidR="009C2AB2" w:rsidRPr="0077427C" w:rsidRDefault="009C2AB2" w:rsidP="009C2AB2">
      <w:pPr>
        <w:rPr>
          <w:rFonts w:ascii="Times New Roman" w:hAnsi="Times New Roman"/>
          <w:sz w:val="26"/>
          <w:szCs w:val="26"/>
        </w:rPr>
      </w:pPr>
      <w:r w:rsidRPr="0077427C">
        <w:rPr>
          <w:rFonts w:ascii="Times New Roman" w:hAnsi="Times New Roman"/>
          <w:sz w:val="26"/>
          <w:szCs w:val="26"/>
        </w:rPr>
        <w:t>Secondo Federchimica-</w:t>
      </w:r>
      <w:proofErr w:type="spellStart"/>
      <w:r w:rsidRPr="0077427C">
        <w:rPr>
          <w:rFonts w:ascii="Times New Roman" w:hAnsi="Times New Roman"/>
          <w:sz w:val="26"/>
          <w:szCs w:val="26"/>
        </w:rPr>
        <w:t>Assogasliquidi</w:t>
      </w:r>
      <w:proofErr w:type="spellEnd"/>
      <w:r w:rsidRPr="0077427C">
        <w:rPr>
          <w:rFonts w:ascii="Times New Roman" w:hAnsi="Times New Roman"/>
          <w:sz w:val="26"/>
          <w:szCs w:val="26"/>
        </w:rPr>
        <w:t xml:space="preserve">, se tutto lo stock di caldaie a gas convenzionali fosse sostituito con nuove caldaie a gas a condensazione ci sarebbe un risparmio energetico che, in termini di emissioni, sarebbe di 23 milioni di tonnellate di CO2 equivalente. L'impiego di gas rinnovabili (biometano, </w:t>
      </w:r>
      <w:proofErr w:type="spellStart"/>
      <w:r w:rsidRPr="0077427C">
        <w:rPr>
          <w:rFonts w:ascii="Times New Roman" w:hAnsi="Times New Roman"/>
          <w:sz w:val="26"/>
          <w:szCs w:val="26"/>
        </w:rPr>
        <w:t>bioGPL</w:t>
      </w:r>
      <w:proofErr w:type="spellEnd"/>
      <w:r w:rsidRPr="0077427C">
        <w:rPr>
          <w:rFonts w:ascii="Times New Roman" w:hAnsi="Times New Roman"/>
          <w:sz w:val="26"/>
          <w:szCs w:val="26"/>
        </w:rPr>
        <w:t>, DME rinnovabile e idrogeno) rafforzerebbe poi tali risparmi, e l’incremento della disponibilità di gas rinnovabili, anche tramite specifiche misure di incentivo, consentirebbe la piena valorizzazione della rete e delle infrastrutture di stoccaggio e distribuzione già esistenti, con minore impatto per l'erario e per i consumatori.</w:t>
      </w:r>
    </w:p>
    <w:p w14:paraId="56C1B577" w14:textId="77777777" w:rsidR="009C2AB2" w:rsidRPr="0077427C" w:rsidRDefault="009C2AB2" w:rsidP="009C2AB2">
      <w:pPr>
        <w:rPr>
          <w:rFonts w:ascii="Times New Roman" w:hAnsi="Times New Roman"/>
          <w:sz w:val="26"/>
          <w:szCs w:val="26"/>
        </w:rPr>
      </w:pPr>
      <w:r w:rsidRPr="0077427C">
        <w:rPr>
          <w:rFonts w:ascii="Times New Roman" w:hAnsi="Times New Roman"/>
          <w:sz w:val="26"/>
          <w:szCs w:val="26"/>
        </w:rPr>
        <w:t>Per Federchimica-</w:t>
      </w:r>
      <w:proofErr w:type="spellStart"/>
      <w:r w:rsidRPr="0077427C">
        <w:rPr>
          <w:rFonts w:ascii="Times New Roman" w:hAnsi="Times New Roman"/>
          <w:sz w:val="26"/>
          <w:szCs w:val="26"/>
        </w:rPr>
        <w:t>Assogasliquidi</w:t>
      </w:r>
      <w:proofErr w:type="spellEnd"/>
      <w:r w:rsidRPr="0077427C">
        <w:rPr>
          <w:rFonts w:ascii="Times New Roman" w:hAnsi="Times New Roman"/>
          <w:sz w:val="26"/>
          <w:szCs w:val="26"/>
        </w:rPr>
        <w:t xml:space="preserve"> è pertanto necessario sostenere lo sviluppo dei gas rinnovabili negli edifici (riscaldamento, acqua calda, uso cottura); ottenere il riconoscimento delle quote rinnovabili per il gas nella valutazione dei fattori di conversione utilizzati per l'etichettatura energetica e nelle valutazioni delle coperture di fonti rinnovabili negli edifici; definire incentivi dedicati a tecnologie </w:t>
      </w:r>
      <w:r w:rsidRPr="0077427C">
        <w:rPr>
          <w:rFonts w:ascii="Times New Roman" w:hAnsi="Times New Roman"/>
          <w:i/>
          <w:sz w:val="26"/>
          <w:szCs w:val="26"/>
        </w:rPr>
        <w:t>green gas ready</w:t>
      </w:r>
      <w:r w:rsidRPr="0077427C">
        <w:rPr>
          <w:rFonts w:ascii="Times New Roman" w:hAnsi="Times New Roman"/>
          <w:sz w:val="26"/>
          <w:szCs w:val="26"/>
        </w:rPr>
        <w:t xml:space="preserve">; incentivare le iniziative di produzione di prodotti gassosi, </w:t>
      </w:r>
      <w:proofErr w:type="spellStart"/>
      <w:r w:rsidRPr="0077427C">
        <w:rPr>
          <w:rFonts w:ascii="Times New Roman" w:hAnsi="Times New Roman"/>
          <w:sz w:val="26"/>
          <w:szCs w:val="26"/>
        </w:rPr>
        <w:t>bio</w:t>
      </w:r>
      <w:proofErr w:type="spellEnd"/>
      <w:r w:rsidRPr="0077427C">
        <w:rPr>
          <w:rFonts w:ascii="Times New Roman" w:hAnsi="Times New Roman"/>
          <w:sz w:val="26"/>
          <w:szCs w:val="26"/>
        </w:rPr>
        <w:t xml:space="preserve"> e rinnovabili da utilizzare anche in purezza (</w:t>
      </w:r>
      <w:proofErr w:type="spellStart"/>
      <w:r w:rsidRPr="0077427C">
        <w:rPr>
          <w:rFonts w:ascii="Times New Roman" w:hAnsi="Times New Roman"/>
          <w:sz w:val="26"/>
          <w:szCs w:val="26"/>
        </w:rPr>
        <w:t>bioGPL</w:t>
      </w:r>
      <w:proofErr w:type="spellEnd"/>
      <w:r w:rsidRPr="0077427C">
        <w:rPr>
          <w:rFonts w:ascii="Times New Roman" w:hAnsi="Times New Roman"/>
          <w:sz w:val="26"/>
          <w:szCs w:val="26"/>
        </w:rPr>
        <w:t xml:space="preserve"> o biometano anche liquefatto, </w:t>
      </w:r>
      <w:proofErr w:type="spellStart"/>
      <w:r w:rsidRPr="0077427C">
        <w:rPr>
          <w:rFonts w:ascii="Times New Roman" w:hAnsi="Times New Roman"/>
          <w:sz w:val="26"/>
          <w:szCs w:val="26"/>
        </w:rPr>
        <w:t>bioGNL</w:t>
      </w:r>
      <w:proofErr w:type="spellEnd"/>
      <w:r w:rsidRPr="0077427C">
        <w:rPr>
          <w:rFonts w:ascii="Times New Roman" w:hAnsi="Times New Roman"/>
          <w:sz w:val="26"/>
          <w:szCs w:val="26"/>
        </w:rPr>
        <w:t xml:space="preserve">) o in miscele con i gas tradizionali; incentivare la sostituzione delle caldaie a gas più vetuste con le moderne caldaie a condensazione, peraltro già pronte e certificate per essere alimentate con gas rinnovabili; </w:t>
      </w:r>
      <w:r w:rsidR="006963FE" w:rsidRPr="0077427C">
        <w:rPr>
          <w:rFonts w:ascii="Times New Roman" w:hAnsi="Times New Roman"/>
          <w:sz w:val="26"/>
          <w:szCs w:val="26"/>
        </w:rPr>
        <w:t>l’eliminazione e</w:t>
      </w:r>
      <w:r w:rsidRPr="0077427C">
        <w:rPr>
          <w:rFonts w:ascii="Times New Roman" w:hAnsi="Times New Roman"/>
          <w:sz w:val="26"/>
          <w:szCs w:val="26"/>
        </w:rPr>
        <w:t xml:space="preserve"> la riduzione dell'IVA </w:t>
      </w:r>
      <w:r w:rsidR="008C0FAF" w:rsidRPr="0077427C">
        <w:rPr>
          <w:rFonts w:ascii="Times New Roman" w:hAnsi="Times New Roman"/>
          <w:sz w:val="26"/>
          <w:szCs w:val="26"/>
        </w:rPr>
        <w:t>applicabile all’acquisto di</w:t>
      </w:r>
      <w:r w:rsidRPr="0077427C">
        <w:rPr>
          <w:rFonts w:ascii="Times New Roman" w:hAnsi="Times New Roman"/>
          <w:sz w:val="26"/>
          <w:szCs w:val="26"/>
        </w:rPr>
        <w:t xml:space="preserve"> pellet; procedere ad una revisione sostanziale del conto termico, al fine di prevedere che le misure di incentivo ivi previste si applichino esclusivamente </w:t>
      </w:r>
      <w:r w:rsidR="002946E3" w:rsidRPr="0077427C">
        <w:rPr>
          <w:rFonts w:ascii="Times New Roman" w:hAnsi="Times New Roman"/>
          <w:sz w:val="26"/>
          <w:szCs w:val="26"/>
        </w:rPr>
        <w:t>al</w:t>
      </w:r>
      <w:r w:rsidRPr="0077427C">
        <w:rPr>
          <w:rFonts w:ascii="Times New Roman" w:hAnsi="Times New Roman"/>
          <w:sz w:val="26"/>
          <w:szCs w:val="26"/>
        </w:rPr>
        <w:t xml:space="preserve">la sostituzione di impianti vetusti a legna o pellet con analoghi impianti a biomassa, ma solo se certificati </w:t>
      </w:r>
      <w:r w:rsidR="002946E3" w:rsidRPr="0077427C">
        <w:rPr>
          <w:rFonts w:ascii="Times New Roman" w:hAnsi="Times New Roman"/>
          <w:sz w:val="26"/>
          <w:szCs w:val="26"/>
        </w:rPr>
        <w:t>“</w:t>
      </w:r>
      <w:r w:rsidRPr="0077427C">
        <w:rPr>
          <w:rFonts w:ascii="Times New Roman" w:hAnsi="Times New Roman"/>
          <w:sz w:val="26"/>
          <w:szCs w:val="26"/>
        </w:rPr>
        <w:t>5 stelle</w:t>
      </w:r>
      <w:r w:rsidR="002946E3" w:rsidRPr="0077427C">
        <w:rPr>
          <w:rFonts w:ascii="Times New Roman" w:hAnsi="Times New Roman"/>
          <w:sz w:val="26"/>
          <w:szCs w:val="26"/>
        </w:rPr>
        <w:t>”</w:t>
      </w:r>
      <w:r w:rsidRPr="0077427C">
        <w:rPr>
          <w:rFonts w:ascii="Times New Roman" w:hAnsi="Times New Roman"/>
          <w:sz w:val="26"/>
          <w:szCs w:val="26"/>
        </w:rPr>
        <w:t>; escludere la possibilità di accedere alle detrazioni fiscali a favore della biomassa quando l'unità abitativa è già servita da un impianto di riscaldamento a gas (metano o GPL).</w:t>
      </w:r>
    </w:p>
    <w:p w14:paraId="605B73E4" w14:textId="77777777" w:rsidR="009C2AB2" w:rsidRPr="0077427C" w:rsidRDefault="009C2AB2" w:rsidP="009C2AB2">
      <w:pPr>
        <w:rPr>
          <w:rFonts w:ascii="Times New Roman" w:hAnsi="Times New Roman"/>
          <w:sz w:val="26"/>
          <w:szCs w:val="26"/>
        </w:rPr>
      </w:pPr>
    </w:p>
    <w:p w14:paraId="2F79CD9E" w14:textId="77777777" w:rsidR="00EB4E60" w:rsidRPr="0077427C" w:rsidRDefault="00EB4E60" w:rsidP="009C2AB2">
      <w:pPr>
        <w:rPr>
          <w:rFonts w:ascii="Times New Roman" w:hAnsi="Times New Roman"/>
          <w:i/>
          <w:sz w:val="26"/>
          <w:szCs w:val="26"/>
        </w:rPr>
      </w:pPr>
      <w:r w:rsidRPr="0077427C">
        <w:rPr>
          <w:rFonts w:ascii="Times New Roman" w:hAnsi="Times New Roman"/>
          <w:b/>
          <w:sz w:val="26"/>
          <w:szCs w:val="26"/>
        </w:rPr>
        <w:t>Consiglio Nazionale delle Ricerche (CNR)</w:t>
      </w:r>
      <w:r w:rsidR="00371480" w:rsidRPr="0077427C">
        <w:rPr>
          <w:rFonts w:ascii="Times New Roman" w:hAnsi="Times New Roman"/>
          <w:b/>
          <w:sz w:val="26"/>
          <w:szCs w:val="26"/>
        </w:rPr>
        <w:t xml:space="preserve"> </w:t>
      </w:r>
    </w:p>
    <w:p w14:paraId="6ED1ED6E" w14:textId="77777777" w:rsidR="009C2AB2" w:rsidRPr="0077427C" w:rsidRDefault="009C2AB2" w:rsidP="009C2AB2">
      <w:pPr>
        <w:rPr>
          <w:rFonts w:ascii="Times New Roman" w:hAnsi="Times New Roman"/>
          <w:sz w:val="26"/>
          <w:szCs w:val="26"/>
        </w:rPr>
      </w:pPr>
      <w:r w:rsidRPr="0077427C">
        <w:rPr>
          <w:rFonts w:ascii="Times New Roman" w:hAnsi="Times New Roman"/>
          <w:sz w:val="26"/>
          <w:szCs w:val="26"/>
        </w:rPr>
        <w:t>I rappresentanti del Consiglio Nazionale delle Ricerche (CNR)</w:t>
      </w:r>
      <w:r w:rsidR="00B54D83" w:rsidRPr="0077427C">
        <w:rPr>
          <w:rFonts w:ascii="Times New Roman" w:hAnsi="Times New Roman"/>
          <w:sz w:val="26"/>
          <w:szCs w:val="26"/>
        </w:rPr>
        <w:t>, nell’audizione del 15 giugno 2023,</w:t>
      </w:r>
      <w:r w:rsidRPr="0077427C">
        <w:rPr>
          <w:rFonts w:ascii="Times New Roman" w:hAnsi="Times New Roman"/>
          <w:sz w:val="26"/>
          <w:szCs w:val="26"/>
        </w:rPr>
        <w:t xml:space="preserve"> hanno sottolineato che per i prossimi incentivi edilizi è consigliabile considerare </w:t>
      </w:r>
      <w:r w:rsidR="00B54D83" w:rsidRPr="0077427C">
        <w:rPr>
          <w:rFonts w:ascii="Times New Roman" w:hAnsi="Times New Roman"/>
          <w:sz w:val="26"/>
          <w:szCs w:val="26"/>
        </w:rPr>
        <w:t xml:space="preserve">non </w:t>
      </w:r>
      <w:r w:rsidRPr="0077427C">
        <w:rPr>
          <w:rFonts w:ascii="Times New Roman" w:hAnsi="Times New Roman"/>
          <w:sz w:val="26"/>
          <w:szCs w:val="26"/>
        </w:rPr>
        <w:t xml:space="preserve">solo l’obiettivo del risparmio energetico ma, analogamente a quanto fatto col </w:t>
      </w:r>
      <w:proofErr w:type="spellStart"/>
      <w:r w:rsidRPr="0077427C">
        <w:rPr>
          <w:rFonts w:ascii="Times New Roman" w:hAnsi="Times New Roman"/>
          <w:i/>
          <w:sz w:val="26"/>
          <w:szCs w:val="26"/>
        </w:rPr>
        <w:t>sismabonus</w:t>
      </w:r>
      <w:proofErr w:type="spellEnd"/>
      <w:r w:rsidRPr="0077427C">
        <w:rPr>
          <w:rFonts w:ascii="Times New Roman" w:hAnsi="Times New Roman"/>
          <w:sz w:val="26"/>
          <w:szCs w:val="26"/>
        </w:rPr>
        <w:t>, valutare a tutto campo i requisiti delle opere, considerando non solo la sicurezza strutturale dell’immobile, ma anche il comportamento all'incendio da parte dei materiali utilizzati, in quanto l’inserimento di determinati materiali organici, leggeri, o la previsione di ventilazioni comportano un incremento dei rischi di incendio dall'esterno.</w:t>
      </w:r>
    </w:p>
    <w:p w14:paraId="068E764C" w14:textId="77777777" w:rsidR="009C2AB2" w:rsidRPr="0077427C" w:rsidRDefault="009C2AB2" w:rsidP="009C2AB2">
      <w:pPr>
        <w:rPr>
          <w:rFonts w:ascii="Times New Roman" w:hAnsi="Times New Roman"/>
          <w:sz w:val="26"/>
          <w:szCs w:val="26"/>
        </w:rPr>
      </w:pPr>
    </w:p>
    <w:p w14:paraId="225CF34A" w14:textId="77777777" w:rsidR="00EB4E60" w:rsidRPr="0077427C" w:rsidRDefault="00505C47" w:rsidP="009C2AB2">
      <w:pPr>
        <w:rPr>
          <w:rFonts w:ascii="Times New Roman" w:hAnsi="Times New Roman"/>
          <w:b/>
          <w:i/>
          <w:sz w:val="26"/>
          <w:szCs w:val="26"/>
        </w:rPr>
      </w:pPr>
      <w:r w:rsidRPr="0077427C">
        <w:rPr>
          <w:rFonts w:ascii="Times New Roman" w:hAnsi="Times New Roman"/>
          <w:b/>
          <w:sz w:val="26"/>
          <w:szCs w:val="26"/>
        </w:rPr>
        <w:t xml:space="preserve">Centro Studi Investimenti Sociali (Censis) </w:t>
      </w:r>
    </w:p>
    <w:p w14:paraId="62EE21C4" w14:textId="77777777" w:rsidR="009C2AB2" w:rsidRPr="0077427C" w:rsidRDefault="001A4A7D" w:rsidP="001A4A7D">
      <w:pPr>
        <w:rPr>
          <w:rFonts w:ascii="Times New Roman" w:hAnsi="Times New Roman"/>
          <w:sz w:val="26"/>
          <w:szCs w:val="26"/>
        </w:rPr>
      </w:pPr>
      <w:r w:rsidRPr="0077427C">
        <w:rPr>
          <w:rFonts w:ascii="Times New Roman" w:hAnsi="Times New Roman"/>
          <w:sz w:val="26"/>
          <w:szCs w:val="26"/>
        </w:rPr>
        <w:t xml:space="preserve">Nel corso dell’audizione del 15 giugno 2023, è stato sottolineato preliminarmente che il </w:t>
      </w:r>
      <w:r w:rsidR="009C2AB2" w:rsidRPr="0077427C">
        <w:rPr>
          <w:rFonts w:ascii="Times New Roman" w:hAnsi="Times New Roman"/>
          <w:sz w:val="26"/>
          <w:szCs w:val="26"/>
        </w:rPr>
        <w:t xml:space="preserve">contributo del Censis è prevalentemente orientato a ricostruire e a valutare la dimensione sociale di un intervento di largo respiro come quello che dovrà raggiungere gli obiettivi di efficienza energetica degli edifici previsti dalla normativa europea per il 2030 e il 2050. </w:t>
      </w:r>
      <w:r w:rsidRPr="0077427C">
        <w:rPr>
          <w:rFonts w:ascii="Times New Roman" w:hAnsi="Times New Roman"/>
          <w:sz w:val="26"/>
          <w:szCs w:val="26"/>
        </w:rPr>
        <w:t xml:space="preserve">In tale contesto, occorre valutare la distribuzione delle case secondo indicatori di efficienza energetica. </w:t>
      </w:r>
    </w:p>
    <w:p w14:paraId="64924BC5" w14:textId="77777777" w:rsidR="009C2AB2" w:rsidRPr="0077427C" w:rsidRDefault="009C2AB2" w:rsidP="003726F0">
      <w:pPr>
        <w:rPr>
          <w:rFonts w:ascii="Times New Roman" w:hAnsi="Times New Roman"/>
          <w:sz w:val="26"/>
          <w:szCs w:val="26"/>
        </w:rPr>
      </w:pPr>
      <w:r w:rsidRPr="0077427C">
        <w:rPr>
          <w:rFonts w:ascii="Times New Roman" w:hAnsi="Times New Roman"/>
          <w:sz w:val="26"/>
          <w:szCs w:val="26"/>
        </w:rPr>
        <w:t>Nell’ultimo Rapporto Censis del 2022 sulla situazione sociale del Paese, sulla base di diverse valutazioni realizzate per misurare i potenziali impatti collegati ad interventi di efficienza energetica degli edifici, si segnalava, in particolare, che agire sul parco abitativo è fondamentale per ridurre i consumi energetici e per avvicinare gli obiettivi di riduzione delle emissioni di CO2. Un’abitazione in classe G (circa un terzo del totale e la quasi totalità di quelle costruite prima del 1970) presenta consumi energetici mediamente quattro volte più elevati rispetto ad una in classe B (lo standard minimo per le nuove costruzioni). Il settore civile, nel suo complesso, è dunque altamente “energivoro”. I suoi consumi finali raggiungono il 45% del totale, superiori a quelli dell’industria e dei trasporti. Dal funzionamento degli edifici (riscaldamento, raffrescamento, illuminazione, ecc.) si determina infatti il 17,5% delle emissioni di CO2.</w:t>
      </w:r>
    </w:p>
    <w:p w14:paraId="5B71B029" w14:textId="43340EE0" w:rsidR="009C2AB2" w:rsidRPr="0077427C" w:rsidRDefault="009C2AB2" w:rsidP="009C2AB2">
      <w:pPr>
        <w:rPr>
          <w:rFonts w:ascii="Times New Roman" w:hAnsi="Times New Roman"/>
          <w:sz w:val="26"/>
          <w:szCs w:val="26"/>
        </w:rPr>
      </w:pPr>
      <w:r w:rsidRPr="0077427C">
        <w:rPr>
          <w:rFonts w:ascii="Times New Roman" w:hAnsi="Times New Roman"/>
          <w:sz w:val="26"/>
          <w:szCs w:val="26"/>
        </w:rPr>
        <w:t xml:space="preserve">In merito al </w:t>
      </w:r>
      <w:r w:rsidRPr="0077427C">
        <w:rPr>
          <w:rFonts w:ascii="Times New Roman" w:hAnsi="Times New Roman"/>
          <w:i/>
          <w:sz w:val="26"/>
          <w:szCs w:val="26"/>
        </w:rPr>
        <w:t>superbonus</w:t>
      </w:r>
      <w:r w:rsidRPr="0077427C">
        <w:rPr>
          <w:rFonts w:ascii="Times New Roman" w:hAnsi="Times New Roman"/>
          <w:sz w:val="26"/>
          <w:szCs w:val="26"/>
        </w:rPr>
        <w:t xml:space="preserve">, la valutazione del Censis è che si sia trattato di un grande esperimento di mobilitazione collettiva, </w:t>
      </w:r>
      <w:r w:rsidR="008D78A7" w:rsidRPr="0077427C">
        <w:rPr>
          <w:rFonts w:ascii="Times New Roman" w:hAnsi="Times New Roman"/>
          <w:b/>
          <w:sz w:val="26"/>
          <w:szCs w:val="26"/>
        </w:rPr>
        <w:t>che ha visto il coinvolgimento di</w:t>
      </w:r>
      <w:r w:rsidRPr="0077427C">
        <w:rPr>
          <w:rFonts w:ascii="Times New Roman" w:hAnsi="Times New Roman"/>
          <w:b/>
          <w:sz w:val="26"/>
          <w:szCs w:val="26"/>
        </w:rPr>
        <w:t xml:space="preserve"> imprese,</w:t>
      </w:r>
      <w:r w:rsidRPr="0077427C">
        <w:rPr>
          <w:rFonts w:ascii="Times New Roman" w:hAnsi="Times New Roman"/>
          <w:sz w:val="26"/>
          <w:szCs w:val="26"/>
        </w:rPr>
        <w:t xml:space="preserve"> professionisti, famiglie, cittadini </w:t>
      </w:r>
      <w:r w:rsidR="00F01088" w:rsidRPr="0077427C">
        <w:rPr>
          <w:rFonts w:ascii="Times New Roman" w:hAnsi="Times New Roman"/>
          <w:sz w:val="26"/>
          <w:szCs w:val="26"/>
        </w:rPr>
        <w:t xml:space="preserve">spesso organizzati </w:t>
      </w:r>
      <w:r w:rsidRPr="0077427C">
        <w:rPr>
          <w:rFonts w:ascii="Times New Roman" w:hAnsi="Times New Roman"/>
          <w:sz w:val="26"/>
          <w:szCs w:val="26"/>
        </w:rPr>
        <w:t>in assemblee, che hanno determinato – consapevolmente o inconsapevolmente – esiti anche controversi, ma in ogni caso tali da confermare quanto la dimensione “sociale” sia importante per la riuscita di un programma come quello dell’efficientamento energetico degli edifici.</w:t>
      </w:r>
    </w:p>
    <w:p w14:paraId="33800ECE" w14:textId="77777777" w:rsidR="009C2AB2" w:rsidRPr="0077427C" w:rsidRDefault="009C2AB2" w:rsidP="009C2AB2">
      <w:pPr>
        <w:rPr>
          <w:rFonts w:ascii="Times New Roman" w:hAnsi="Times New Roman"/>
          <w:sz w:val="26"/>
          <w:szCs w:val="26"/>
        </w:rPr>
      </w:pPr>
      <w:r w:rsidRPr="0077427C">
        <w:rPr>
          <w:rFonts w:ascii="Times New Roman" w:hAnsi="Times New Roman"/>
          <w:sz w:val="26"/>
          <w:szCs w:val="26"/>
        </w:rPr>
        <w:t>In Italia oggi il 70,8% delle famiglie ha una casa di proprietà, mentre il 20,5% vive in una abitazione in affitto e il restante 8,7% risiede in un’unità immobiliare in usufrutto o in uso gratuito. In tale ambito, sono da considerare le famiglie con livelli di reddito modesti e l’età dei proprietari. Entrambe tali variabili possono giocare un ruolo non secondario nel coinvolgimento delle famiglie nei confronti di obiettivi come quelli dell’efficientamento energetico da raggiungere entro il 2030 (come prevede attualmente la strategia europea). Nel primo caso il vincolo economico dovrà essere attenuato attraverso meccanismi che non escludano dall’impegno collettivo una quota non indifferente di proprietari di casa. Nel secondo caso la questione del coinvolgimento e dell’impegno risulta esposta a fattori anche psicologici, soprattutto quando gli obiettivi di lungo periodo appaiono lontani rispetto alla propria condizione individuale.</w:t>
      </w:r>
    </w:p>
    <w:p w14:paraId="52C4BC9E" w14:textId="77777777" w:rsidR="009C2AB2" w:rsidRPr="0077427C" w:rsidRDefault="009C2AB2" w:rsidP="009C2AB2">
      <w:pPr>
        <w:rPr>
          <w:rFonts w:ascii="Times New Roman" w:hAnsi="Times New Roman"/>
          <w:sz w:val="26"/>
          <w:szCs w:val="26"/>
        </w:rPr>
      </w:pPr>
      <w:r w:rsidRPr="0077427C">
        <w:rPr>
          <w:rFonts w:ascii="Times New Roman" w:hAnsi="Times New Roman"/>
          <w:sz w:val="26"/>
          <w:szCs w:val="26"/>
        </w:rPr>
        <w:t xml:space="preserve">In sostanza, </w:t>
      </w:r>
      <w:r w:rsidR="00FA7CAB" w:rsidRPr="0077427C">
        <w:rPr>
          <w:rFonts w:ascii="Times New Roman" w:hAnsi="Times New Roman"/>
          <w:sz w:val="26"/>
          <w:szCs w:val="26"/>
        </w:rPr>
        <w:t>come evidenziato nel documento depositato nel corso dell’audizione,</w:t>
      </w:r>
      <w:r w:rsidRPr="0077427C">
        <w:rPr>
          <w:rFonts w:ascii="Times New Roman" w:hAnsi="Times New Roman"/>
          <w:sz w:val="26"/>
          <w:szCs w:val="26"/>
        </w:rPr>
        <w:t xml:space="preserve"> le probabilità per l’Italia di raggiungere gli obiettivi ambiziosi di riduzione delle emissioni entro il 2030 non sembrerebbero condizionate dalla situazione dell’offerta (progettazione di strumenti adeguati di incentivazione e mobilitazione della filiera dell’edilizia), bensì dalla risposta effettiva delle famiglie proprietarie rispetto a risultati attesi che però, allo stato attuale, appaiono non così motivanti per le famiglie stesse.</w:t>
      </w:r>
    </w:p>
    <w:p w14:paraId="6084D3AF" w14:textId="77777777" w:rsidR="009C2AB2" w:rsidRPr="0077427C" w:rsidRDefault="009C2AB2" w:rsidP="009C2AB2">
      <w:pPr>
        <w:ind w:firstLine="0"/>
        <w:rPr>
          <w:rFonts w:ascii="Times New Roman" w:hAnsi="Times New Roman"/>
          <w:sz w:val="26"/>
          <w:szCs w:val="26"/>
        </w:rPr>
      </w:pPr>
    </w:p>
    <w:p w14:paraId="62B9DC0E" w14:textId="77777777" w:rsidR="000F204A" w:rsidRPr="0077427C" w:rsidRDefault="000F204A" w:rsidP="009C2AB2">
      <w:pPr>
        <w:ind w:firstLine="0"/>
        <w:rPr>
          <w:rFonts w:ascii="Times New Roman" w:hAnsi="Times New Roman"/>
          <w:sz w:val="26"/>
          <w:szCs w:val="26"/>
        </w:rPr>
      </w:pPr>
    </w:p>
    <w:p w14:paraId="0F3BEC1E" w14:textId="77777777" w:rsidR="00EB4E60" w:rsidRPr="0077427C" w:rsidRDefault="00EB4E60" w:rsidP="00EB4E60">
      <w:pPr>
        <w:rPr>
          <w:rFonts w:ascii="Times New Roman" w:hAnsi="Times New Roman"/>
          <w:b/>
          <w:sz w:val="26"/>
          <w:szCs w:val="26"/>
        </w:rPr>
      </w:pPr>
      <w:r w:rsidRPr="0077427C">
        <w:rPr>
          <w:rFonts w:ascii="Times New Roman" w:hAnsi="Times New Roman"/>
          <w:b/>
          <w:sz w:val="26"/>
          <w:szCs w:val="26"/>
        </w:rPr>
        <w:t xml:space="preserve">ANIMA Confindustria meccanica varia, </w:t>
      </w:r>
      <w:proofErr w:type="spellStart"/>
      <w:r w:rsidRPr="0077427C">
        <w:rPr>
          <w:rFonts w:ascii="Times New Roman" w:hAnsi="Times New Roman"/>
          <w:b/>
          <w:sz w:val="26"/>
          <w:szCs w:val="26"/>
        </w:rPr>
        <w:t>Assoclima</w:t>
      </w:r>
      <w:proofErr w:type="spellEnd"/>
      <w:r w:rsidRPr="0077427C">
        <w:rPr>
          <w:rFonts w:ascii="Times New Roman" w:hAnsi="Times New Roman"/>
          <w:b/>
          <w:sz w:val="26"/>
          <w:szCs w:val="26"/>
        </w:rPr>
        <w:t xml:space="preserve"> e </w:t>
      </w:r>
      <w:proofErr w:type="spellStart"/>
      <w:r w:rsidRPr="0077427C">
        <w:rPr>
          <w:rFonts w:ascii="Times New Roman" w:hAnsi="Times New Roman"/>
          <w:b/>
          <w:sz w:val="26"/>
          <w:szCs w:val="26"/>
        </w:rPr>
        <w:t>Assotermica</w:t>
      </w:r>
      <w:proofErr w:type="spellEnd"/>
      <w:r w:rsidR="00371480" w:rsidRPr="0077427C">
        <w:rPr>
          <w:rFonts w:ascii="Times New Roman" w:hAnsi="Times New Roman"/>
          <w:b/>
          <w:sz w:val="26"/>
          <w:szCs w:val="26"/>
        </w:rPr>
        <w:t xml:space="preserve"> </w:t>
      </w:r>
    </w:p>
    <w:p w14:paraId="08DDE503" w14:textId="77777777" w:rsidR="009C2AB2" w:rsidRPr="0077427C" w:rsidRDefault="009C2AB2" w:rsidP="009C2AB2">
      <w:pPr>
        <w:rPr>
          <w:rFonts w:ascii="Times New Roman" w:hAnsi="Times New Roman"/>
          <w:sz w:val="26"/>
          <w:szCs w:val="26"/>
        </w:rPr>
      </w:pPr>
      <w:r w:rsidRPr="0077427C">
        <w:rPr>
          <w:rFonts w:ascii="Times New Roman" w:hAnsi="Times New Roman"/>
          <w:sz w:val="26"/>
          <w:szCs w:val="26"/>
        </w:rPr>
        <w:t xml:space="preserve">ANIMA Confindustria meccanica varia, </w:t>
      </w:r>
      <w:proofErr w:type="spellStart"/>
      <w:r w:rsidRPr="0077427C">
        <w:rPr>
          <w:rFonts w:ascii="Times New Roman" w:hAnsi="Times New Roman"/>
          <w:sz w:val="26"/>
          <w:szCs w:val="26"/>
        </w:rPr>
        <w:t>Assoclima</w:t>
      </w:r>
      <w:proofErr w:type="spellEnd"/>
      <w:r w:rsidRPr="0077427C">
        <w:rPr>
          <w:rFonts w:ascii="Times New Roman" w:hAnsi="Times New Roman"/>
          <w:sz w:val="26"/>
          <w:szCs w:val="26"/>
        </w:rPr>
        <w:t xml:space="preserve"> e </w:t>
      </w:r>
      <w:proofErr w:type="spellStart"/>
      <w:r w:rsidRPr="0077427C">
        <w:rPr>
          <w:rFonts w:ascii="Times New Roman" w:hAnsi="Times New Roman"/>
          <w:sz w:val="26"/>
          <w:szCs w:val="26"/>
        </w:rPr>
        <w:t>Assotermica</w:t>
      </w:r>
      <w:proofErr w:type="spellEnd"/>
      <w:r w:rsidRPr="0077427C">
        <w:rPr>
          <w:rFonts w:ascii="Times New Roman" w:hAnsi="Times New Roman"/>
          <w:sz w:val="26"/>
          <w:szCs w:val="26"/>
        </w:rPr>
        <w:t xml:space="preserve"> hanno sottolineato l’importanza di assicurare, nella materia degli incentivi in edilizia, la stabilità e la certezza delle regole per interventi a supporto degli investimenti e la semplicità dell'accesso alle misure (il tutto mediante un testo unico degli incentivi), nonché un approccio </w:t>
      </w:r>
      <w:proofErr w:type="spellStart"/>
      <w:r w:rsidRPr="0077427C">
        <w:rPr>
          <w:rFonts w:ascii="Times New Roman" w:hAnsi="Times New Roman"/>
          <w:sz w:val="26"/>
          <w:szCs w:val="26"/>
        </w:rPr>
        <w:t>multitecnologico</w:t>
      </w:r>
      <w:proofErr w:type="spellEnd"/>
      <w:r w:rsidRPr="0077427C">
        <w:rPr>
          <w:rFonts w:ascii="Times New Roman" w:hAnsi="Times New Roman"/>
          <w:sz w:val="26"/>
          <w:szCs w:val="26"/>
        </w:rPr>
        <w:t xml:space="preserve"> per poter sfruttare appieno tutte le potenzialità delle tecnologie che l’industria italiana è in grado di offrire.</w:t>
      </w:r>
    </w:p>
    <w:p w14:paraId="43A75AB6" w14:textId="77777777" w:rsidR="009C2AB2" w:rsidRPr="0077427C" w:rsidRDefault="009C2AB2" w:rsidP="009C2AB2">
      <w:pPr>
        <w:rPr>
          <w:rFonts w:ascii="Times New Roman" w:hAnsi="Times New Roman"/>
          <w:sz w:val="26"/>
          <w:szCs w:val="26"/>
        </w:rPr>
      </w:pPr>
      <w:proofErr w:type="spellStart"/>
      <w:r w:rsidRPr="0077427C">
        <w:rPr>
          <w:rFonts w:ascii="Times New Roman" w:hAnsi="Times New Roman"/>
          <w:sz w:val="26"/>
          <w:szCs w:val="26"/>
        </w:rPr>
        <w:t>Assoclima</w:t>
      </w:r>
      <w:proofErr w:type="spellEnd"/>
      <w:r w:rsidRPr="0077427C">
        <w:rPr>
          <w:rFonts w:ascii="Times New Roman" w:hAnsi="Times New Roman"/>
          <w:sz w:val="26"/>
          <w:szCs w:val="26"/>
        </w:rPr>
        <w:t xml:space="preserve">, in particolare, ritiene opportuno sostenere maggiormente le tecnologie più efficienti in termini di minor utilizzo di energia primaria. Sottolinea altresì che imporre negli interventi edilizi una percentuale minima di energia rinnovabile è una prassi che produce sia una riduzione del fabbisogno di energia primaria non rinnovabile (con conseguente miglioramento della classe energetica) sia delle emissioni di CO2, come dimostrato dai risultati ottenuti dal decreto-legge n. 199/2021 (e prima ancora dal decreto legislativo n. 28/2011) applicato agli edifici di nuova costruzione: grazie a tale provvedimento gli edifici in classe A dalla 1 alla 4 sono passati dal 12% del 2012 al 70% nel 2021. In analogia a quanto disposto per le nuove abitazioni, </w:t>
      </w:r>
      <w:proofErr w:type="spellStart"/>
      <w:r w:rsidRPr="0077427C">
        <w:rPr>
          <w:rFonts w:ascii="Times New Roman" w:hAnsi="Times New Roman"/>
          <w:sz w:val="26"/>
          <w:szCs w:val="26"/>
        </w:rPr>
        <w:t>Assoclima</w:t>
      </w:r>
      <w:proofErr w:type="spellEnd"/>
      <w:r w:rsidRPr="0077427C">
        <w:rPr>
          <w:rFonts w:ascii="Times New Roman" w:hAnsi="Times New Roman"/>
          <w:sz w:val="26"/>
          <w:szCs w:val="26"/>
        </w:rPr>
        <w:t xml:space="preserve"> auspica che per gli immobili esistenti, sottoposti a ristrutturazione, siano indicati degli obiettivi massimi di emissione di CO2 e minimi di percentuale di energia rinnovabile da raggiungere. </w:t>
      </w:r>
      <w:proofErr w:type="spellStart"/>
      <w:r w:rsidRPr="0077427C">
        <w:rPr>
          <w:rFonts w:ascii="Times New Roman" w:hAnsi="Times New Roman"/>
          <w:sz w:val="26"/>
          <w:szCs w:val="26"/>
        </w:rPr>
        <w:t>Assoclima</w:t>
      </w:r>
      <w:proofErr w:type="spellEnd"/>
      <w:r w:rsidRPr="0077427C">
        <w:rPr>
          <w:rFonts w:ascii="Times New Roman" w:hAnsi="Times New Roman"/>
          <w:sz w:val="26"/>
          <w:szCs w:val="26"/>
        </w:rPr>
        <w:t xml:space="preserve"> propone pertanto, per raggiungere gli obiettivi al 2030, che le tecnologie utilizzabili per gli interventi di riqualificazione energetica siano raccolte in tre gruppi (in funzione delle loro emissioni di CO2, della percentuale di energia rinnovabile prodotta e della loro efficienza in termini di energia primaria utilizzata) e che l’incentivo riconosciuto sia proporzionale al contributo fornito al raggiungimento di questi tre obiettivi. </w:t>
      </w:r>
    </w:p>
    <w:p w14:paraId="064FE1EB" w14:textId="77777777" w:rsidR="009C2AB2" w:rsidRPr="0077427C" w:rsidRDefault="009C2AB2" w:rsidP="009C2AB2">
      <w:pPr>
        <w:rPr>
          <w:rFonts w:ascii="Times New Roman" w:hAnsi="Times New Roman"/>
          <w:sz w:val="26"/>
          <w:szCs w:val="26"/>
        </w:rPr>
      </w:pPr>
      <w:r w:rsidRPr="0077427C">
        <w:rPr>
          <w:rFonts w:ascii="Times New Roman" w:hAnsi="Times New Roman"/>
          <w:sz w:val="26"/>
          <w:szCs w:val="26"/>
        </w:rPr>
        <w:t xml:space="preserve">Secondo </w:t>
      </w:r>
      <w:proofErr w:type="spellStart"/>
      <w:r w:rsidRPr="0077427C">
        <w:rPr>
          <w:rFonts w:ascii="Times New Roman" w:hAnsi="Times New Roman"/>
          <w:sz w:val="26"/>
          <w:szCs w:val="26"/>
        </w:rPr>
        <w:t>Assotermica</w:t>
      </w:r>
      <w:proofErr w:type="spellEnd"/>
      <w:r w:rsidRPr="0077427C">
        <w:rPr>
          <w:rFonts w:ascii="Times New Roman" w:hAnsi="Times New Roman"/>
          <w:sz w:val="26"/>
          <w:szCs w:val="26"/>
        </w:rPr>
        <w:t>, per cogliere gli obiettivi di decarbonizzazione e di risparmio energetico dell'Italia, non ci si può limitare agli edifici (con interventi come il cappotto o sugli infissi)</w:t>
      </w:r>
      <w:r w:rsidR="00034511" w:rsidRPr="0077427C">
        <w:rPr>
          <w:rFonts w:ascii="Times New Roman" w:hAnsi="Times New Roman"/>
          <w:sz w:val="26"/>
          <w:szCs w:val="26"/>
        </w:rPr>
        <w:t>,</w:t>
      </w:r>
      <w:r w:rsidRPr="0077427C">
        <w:rPr>
          <w:rFonts w:ascii="Times New Roman" w:hAnsi="Times New Roman"/>
          <w:sz w:val="26"/>
          <w:szCs w:val="26"/>
        </w:rPr>
        <w:t xml:space="preserve"> ma è necessario intervenire anche sugli impianti situati negli edifici medesimi. Occorre inoltre concentrarsi sugli impianti idrico-sanitari poiché, in un edificio ben isolato termicamente, l'acqua calda sanitaria determina il 45% dei consumi. La soluzione proposta da </w:t>
      </w:r>
      <w:proofErr w:type="spellStart"/>
      <w:r w:rsidRPr="0077427C">
        <w:rPr>
          <w:rFonts w:ascii="Times New Roman" w:hAnsi="Times New Roman"/>
          <w:sz w:val="26"/>
          <w:szCs w:val="26"/>
        </w:rPr>
        <w:t>Assotermica</w:t>
      </w:r>
      <w:proofErr w:type="spellEnd"/>
      <w:r w:rsidRPr="0077427C">
        <w:rPr>
          <w:rFonts w:ascii="Times New Roman" w:hAnsi="Times New Roman"/>
          <w:sz w:val="26"/>
          <w:szCs w:val="26"/>
        </w:rPr>
        <w:t xml:space="preserve"> </w:t>
      </w:r>
      <w:r w:rsidR="00034511" w:rsidRPr="0077427C">
        <w:rPr>
          <w:rFonts w:ascii="Times New Roman" w:hAnsi="Times New Roman"/>
          <w:sz w:val="26"/>
          <w:szCs w:val="26"/>
        </w:rPr>
        <w:t>è rappresentata da</w:t>
      </w:r>
      <w:r w:rsidRPr="0077427C">
        <w:rPr>
          <w:rFonts w:ascii="Times New Roman" w:hAnsi="Times New Roman"/>
          <w:sz w:val="26"/>
          <w:szCs w:val="26"/>
        </w:rPr>
        <w:t xml:space="preserve">i cosiddetti apparecchi ibridi </w:t>
      </w:r>
      <w:proofErr w:type="spellStart"/>
      <w:r w:rsidRPr="0077427C">
        <w:rPr>
          <w:rFonts w:ascii="Times New Roman" w:hAnsi="Times New Roman"/>
          <w:i/>
          <w:sz w:val="26"/>
          <w:szCs w:val="26"/>
        </w:rPr>
        <w:t>Factory</w:t>
      </w:r>
      <w:proofErr w:type="spellEnd"/>
      <w:r w:rsidRPr="0077427C">
        <w:rPr>
          <w:rFonts w:ascii="Times New Roman" w:hAnsi="Times New Roman"/>
          <w:i/>
          <w:sz w:val="26"/>
          <w:szCs w:val="26"/>
        </w:rPr>
        <w:t xml:space="preserve"> Made</w:t>
      </w:r>
      <w:r w:rsidRPr="0077427C">
        <w:rPr>
          <w:rFonts w:ascii="Times New Roman" w:hAnsi="Times New Roman"/>
          <w:sz w:val="26"/>
          <w:szCs w:val="26"/>
        </w:rPr>
        <w:t xml:space="preserve">, per la cui produzione l’Italia è leader in Europa, costituiti da una caldaia a gas a condensazione e una pompa di calore elettrica idronica e una centralina di termoregolazione e gestione integrati in un unico apparecchio. Tali apparecchi sono in grado di ridurre i consumi e le emissioni di valori compresi fra il 40 e il 65 per cento rispetto a un impianto tradizionale installato negli anni '80, '90 o 2000. </w:t>
      </w:r>
    </w:p>
    <w:p w14:paraId="419ABA21" w14:textId="77777777" w:rsidR="009C2AB2" w:rsidRPr="0077427C" w:rsidRDefault="009C2AB2" w:rsidP="009C2AB2">
      <w:pPr>
        <w:rPr>
          <w:rFonts w:ascii="Times New Roman" w:hAnsi="Times New Roman"/>
          <w:sz w:val="26"/>
          <w:szCs w:val="26"/>
        </w:rPr>
      </w:pPr>
      <w:r w:rsidRPr="0077427C">
        <w:rPr>
          <w:rFonts w:ascii="Times New Roman" w:hAnsi="Times New Roman"/>
          <w:sz w:val="26"/>
          <w:szCs w:val="26"/>
        </w:rPr>
        <w:t xml:space="preserve">Sempre secondo </w:t>
      </w:r>
      <w:proofErr w:type="spellStart"/>
      <w:r w:rsidRPr="0077427C">
        <w:rPr>
          <w:rFonts w:ascii="Times New Roman" w:hAnsi="Times New Roman"/>
          <w:sz w:val="26"/>
          <w:szCs w:val="26"/>
        </w:rPr>
        <w:t>Assotermica</w:t>
      </w:r>
      <w:proofErr w:type="spellEnd"/>
      <w:r w:rsidRPr="0077427C">
        <w:rPr>
          <w:rFonts w:ascii="Times New Roman" w:hAnsi="Times New Roman"/>
          <w:sz w:val="26"/>
          <w:szCs w:val="26"/>
        </w:rPr>
        <w:t xml:space="preserve"> devono essere considerate le nuove tendenze in campo di gas rinnovabili, altro settore in cui l'Italia è una eccellenza: biometano soprattutto, biogas in generale, </w:t>
      </w:r>
      <w:proofErr w:type="spellStart"/>
      <w:r w:rsidRPr="0077427C">
        <w:rPr>
          <w:rFonts w:ascii="Times New Roman" w:hAnsi="Times New Roman"/>
          <w:sz w:val="26"/>
          <w:szCs w:val="26"/>
        </w:rPr>
        <w:t>bio</w:t>
      </w:r>
      <w:proofErr w:type="spellEnd"/>
      <w:r w:rsidRPr="0077427C">
        <w:rPr>
          <w:rFonts w:ascii="Times New Roman" w:hAnsi="Times New Roman"/>
          <w:sz w:val="26"/>
          <w:szCs w:val="26"/>
        </w:rPr>
        <w:t xml:space="preserve"> Gpl, gas metano sintetico, miscele di biometano e idrogeno o idrogeno puro.</w:t>
      </w:r>
    </w:p>
    <w:p w14:paraId="67E361F2" w14:textId="77777777" w:rsidR="009C2AB2" w:rsidRPr="0077427C" w:rsidRDefault="009C2AB2" w:rsidP="009C2AB2">
      <w:pPr>
        <w:ind w:firstLine="0"/>
        <w:rPr>
          <w:rFonts w:ascii="Times New Roman" w:hAnsi="Times New Roman"/>
          <w:sz w:val="26"/>
          <w:szCs w:val="26"/>
        </w:rPr>
      </w:pPr>
    </w:p>
    <w:p w14:paraId="19317894" w14:textId="77777777" w:rsidR="00EB4E60" w:rsidRPr="0077427C" w:rsidRDefault="00EB4E60" w:rsidP="00EB4E60">
      <w:pPr>
        <w:rPr>
          <w:rFonts w:ascii="Times New Roman" w:hAnsi="Times New Roman"/>
          <w:b/>
          <w:i/>
          <w:sz w:val="26"/>
          <w:szCs w:val="26"/>
        </w:rPr>
      </w:pPr>
      <w:r w:rsidRPr="0077427C">
        <w:rPr>
          <w:rFonts w:ascii="Times New Roman" w:hAnsi="Times New Roman"/>
          <w:b/>
          <w:sz w:val="26"/>
          <w:szCs w:val="26"/>
        </w:rPr>
        <w:t>FIMAA</w:t>
      </w:r>
      <w:r w:rsidR="001B2B3E" w:rsidRPr="0077427C">
        <w:rPr>
          <w:rFonts w:ascii="Times New Roman" w:hAnsi="Times New Roman"/>
          <w:b/>
          <w:sz w:val="26"/>
          <w:szCs w:val="26"/>
        </w:rPr>
        <w:t xml:space="preserve"> - Federazione Italiana Mediatori Agenti d'Affari</w:t>
      </w:r>
      <w:r w:rsidR="00371480" w:rsidRPr="0077427C">
        <w:rPr>
          <w:rFonts w:ascii="Times New Roman" w:hAnsi="Times New Roman"/>
          <w:b/>
          <w:i/>
          <w:sz w:val="26"/>
          <w:szCs w:val="26"/>
        </w:rPr>
        <w:t xml:space="preserve"> </w:t>
      </w:r>
    </w:p>
    <w:p w14:paraId="19EB7C51" w14:textId="124D31D4" w:rsidR="009C2AB2" w:rsidRPr="0077427C" w:rsidRDefault="001B2B3E" w:rsidP="009C2AB2">
      <w:pPr>
        <w:rPr>
          <w:rFonts w:ascii="Times New Roman" w:hAnsi="Times New Roman"/>
          <w:sz w:val="26"/>
          <w:szCs w:val="26"/>
        </w:rPr>
      </w:pPr>
      <w:r w:rsidRPr="0077427C">
        <w:rPr>
          <w:rFonts w:ascii="Times New Roman" w:hAnsi="Times New Roman"/>
          <w:sz w:val="26"/>
          <w:szCs w:val="26"/>
        </w:rPr>
        <w:t>Nell’audizione del 2 a</w:t>
      </w:r>
      <w:r w:rsidR="005D7EF8" w:rsidRPr="0077427C">
        <w:rPr>
          <w:rFonts w:ascii="Times New Roman" w:hAnsi="Times New Roman"/>
          <w:sz w:val="26"/>
          <w:szCs w:val="26"/>
        </w:rPr>
        <w:t>gosto 2023, è stata</w:t>
      </w:r>
      <w:r w:rsidR="005D7EF8" w:rsidRPr="0077427C">
        <w:rPr>
          <w:rFonts w:ascii="Times New Roman" w:hAnsi="Times New Roman"/>
          <w:b/>
          <w:sz w:val="26"/>
          <w:szCs w:val="26"/>
        </w:rPr>
        <w:t xml:space="preserve"> </w:t>
      </w:r>
      <w:r w:rsidR="009C2AB2" w:rsidRPr="0077427C">
        <w:rPr>
          <w:rFonts w:ascii="Times New Roman" w:hAnsi="Times New Roman"/>
          <w:sz w:val="26"/>
          <w:szCs w:val="26"/>
        </w:rPr>
        <w:t>sottolineat</w:t>
      </w:r>
      <w:r w:rsidR="005D7EF8" w:rsidRPr="0077427C">
        <w:rPr>
          <w:rFonts w:ascii="Times New Roman" w:hAnsi="Times New Roman"/>
          <w:sz w:val="26"/>
          <w:szCs w:val="26"/>
        </w:rPr>
        <w:t>a</w:t>
      </w:r>
      <w:r w:rsidR="009C2AB2" w:rsidRPr="0077427C">
        <w:rPr>
          <w:rFonts w:ascii="Times New Roman" w:hAnsi="Times New Roman"/>
          <w:sz w:val="26"/>
          <w:szCs w:val="26"/>
        </w:rPr>
        <w:t xml:space="preserve"> la necessità dell’adozione di un testo unico degli incentivi fiscali in materia di riqualificazione edilizia</w:t>
      </w:r>
      <w:r w:rsidR="00F01088" w:rsidRPr="0077427C">
        <w:rPr>
          <w:rFonts w:ascii="Times New Roman" w:hAnsi="Times New Roman"/>
          <w:sz w:val="26"/>
          <w:szCs w:val="26"/>
        </w:rPr>
        <w:t xml:space="preserve">, </w:t>
      </w:r>
      <w:r w:rsidR="009C2AB2" w:rsidRPr="0077427C">
        <w:rPr>
          <w:rFonts w:ascii="Times New Roman" w:hAnsi="Times New Roman"/>
          <w:sz w:val="26"/>
          <w:szCs w:val="26"/>
        </w:rPr>
        <w:t>sismica</w:t>
      </w:r>
      <w:r w:rsidR="00F01088" w:rsidRPr="0077427C">
        <w:rPr>
          <w:rFonts w:ascii="Times New Roman" w:hAnsi="Times New Roman"/>
          <w:sz w:val="26"/>
          <w:szCs w:val="26"/>
        </w:rPr>
        <w:t xml:space="preserve"> ed </w:t>
      </w:r>
      <w:r w:rsidR="009C2AB2" w:rsidRPr="0077427C">
        <w:rPr>
          <w:rFonts w:ascii="Times New Roman" w:hAnsi="Times New Roman"/>
          <w:sz w:val="26"/>
          <w:szCs w:val="26"/>
        </w:rPr>
        <w:t>energetica degli edifici, essendo ad oggi la normativa frastagliata in una pluralità di norme, di difficile lettura oltre che interpretazione, rendendo permanente l’agevolazione fiscale in materia di riqualificazione energetica e razionalizzando le aliquote relative alle altre agevolazioni previste per il recupero del patrimonio edilizio. FIMAA, inoltre, suggerisce di ripristinare nuovamente il meccanismo della cessione del credito o dello sconto in fattura per le operazioni di riqualificazione edilizia</w:t>
      </w:r>
      <w:r w:rsidR="00F01088" w:rsidRPr="0077427C">
        <w:rPr>
          <w:rFonts w:ascii="Times New Roman" w:hAnsi="Times New Roman"/>
          <w:sz w:val="26"/>
          <w:szCs w:val="26"/>
        </w:rPr>
        <w:t xml:space="preserve">, </w:t>
      </w:r>
      <w:r w:rsidR="009C2AB2" w:rsidRPr="0077427C">
        <w:rPr>
          <w:rFonts w:ascii="Times New Roman" w:hAnsi="Times New Roman"/>
          <w:sz w:val="26"/>
          <w:szCs w:val="26"/>
        </w:rPr>
        <w:t>sismica</w:t>
      </w:r>
      <w:r w:rsidR="00F01088" w:rsidRPr="0077427C">
        <w:rPr>
          <w:rFonts w:ascii="Times New Roman" w:hAnsi="Times New Roman"/>
          <w:sz w:val="26"/>
          <w:szCs w:val="26"/>
        </w:rPr>
        <w:t xml:space="preserve"> ed </w:t>
      </w:r>
      <w:r w:rsidR="009C2AB2" w:rsidRPr="0077427C">
        <w:rPr>
          <w:rFonts w:ascii="Times New Roman" w:hAnsi="Times New Roman"/>
          <w:sz w:val="26"/>
          <w:szCs w:val="26"/>
        </w:rPr>
        <w:t xml:space="preserve">energetica di maggior rilievo, e di valutare l’estensione del meccanismo di cessione anche a crediti tributari di altra natura (es. IVA, IRPEF). </w:t>
      </w:r>
      <w:r w:rsidR="005D7EF8" w:rsidRPr="0077427C">
        <w:rPr>
          <w:rFonts w:ascii="Times New Roman" w:hAnsi="Times New Roman"/>
          <w:sz w:val="26"/>
          <w:szCs w:val="26"/>
        </w:rPr>
        <w:t>Ulteriori considerazioni riguardano l’</w:t>
      </w:r>
      <w:r w:rsidR="009C2AB2" w:rsidRPr="0077427C">
        <w:rPr>
          <w:rFonts w:ascii="Times New Roman" w:hAnsi="Times New Roman"/>
          <w:sz w:val="26"/>
          <w:szCs w:val="26"/>
        </w:rPr>
        <w:t>opportun</w:t>
      </w:r>
      <w:r w:rsidR="005D7EF8" w:rsidRPr="0077427C">
        <w:rPr>
          <w:rFonts w:ascii="Times New Roman" w:hAnsi="Times New Roman"/>
          <w:sz w:val="26"/>
          <w:szCs w:val="26"/>
        </w:rPr>
        <w:t>ità di</w:t>
      </w:r>
      <w:r w:rsidR="009C2AB2" w:rsidRPr="0077427C">
        <w:rPr>
          <w:rFonts w:ascii="Times New Roman" w:hAnsi="Times New Roman"/>
          <w:sz w:val="26"/>
          <w:szCs w:val="26"/>
        </w:rPr>
        <w:t xml:space="preserve"> allargare la platea dei soggetti abilitati ad acquistare o cedere i crediti tributari, non prescindendo dal controllo obbligatorio del visto di conformità da parte dei professionisti abilitati</w:t>
      </w:r>
      <w:r w:rsidR="005D7EF8" w:rsidRPr="0077427C">
        <w:rPr>
          <w:rFonts w:ascii="Times New Roman" w:hAnsi="Times New Roman"/>
          <w:sz w:val="26"/>
          <w:szCs w:val="26"/>
        </w:rPr>
        <w:t>, nonché di istituire una sorta di borsa dei crediti, una piattaforma gestita da un’istituzione pubblica in cui i crediti possono essere scambiati</w:t>
      </w:r>
      <w:r w:rsidR="009C2AB2" w:rsidRPr="0077427C">
        <w:rPr>
          <w:rFonts w:ascii="Times New Roman" w:hAnsi="Times New Roman"/>
          <w:sz w:val="26"/>
          <w:szCs w:val="26"/>
        </w:rPr>
        <w:t xml:space="preserve">. A tal proposito, </w:t>
      </w:r>
      <w:r w:rsidR="005D7EF8" w:rsidRPr="0077427C">
        <w:rPr>
          <w:rFonts w:ascii="Times New Roman" w:hAnsi="Times New Roman"/>
          <w:sz w:val="26"/>
          <w:szCs w:val="26"/>
        </w:rPr>
        <w:t>è stato</w:t>
      </w:r>
      <w:r w:rsidR="009C2AB2" w:rsidRPr="0077427C">
        <w:rPr>
          <w:rFonts w:ascii="Times New Roman" w:hAnsi="Times New Roman"/>
          <w:sz w:val="26"/>
          <w:szCs w:val="26"/>
        </w:rPr>
        <w:t xml:space="preserve"> rilevato come sia necessario svincolare l’utilizzo dei crediti fiscali dal requisito temporale.</w:t>
      </w:r>
    </w:p>
    <w:p w14:paraId="7A0CEBE4" w14:textId="77777777" w:rsidR="009C2AB2" w:rsidRPr="0077427C" w:rsidRDefault="009C2AB2" w:rsidP="009C2AB2">
      <w:pPr>
        <w:rPr>
          <w:rFonts w:ascii="Times New Roman" w:hAnsi="Times New Roman"/>
          <w:sz w:val="26"/>
          <w:szCs w:val="26"/>
        </w:rPr>
      </w:pPr>
      <w:r w:rsidRPr="0077427C">
        <w:rPr>
          <w:rFonts w:ascii="Times New Roman" w:hAnsi="Times New Roman"/>
          <w:sz w:val="26"/>
          <w:szCs w:val="26"/>
        </w:rPr>
        <w:t>Secondo FIMAA, l’indipendenza energetica può inoltre essere raggiunta attraverso l’incentivazione dell’installazione di impianti fotovoltaici su abitazioni e imprese e favorendo la nascita di comunità energetiche organizzate in soggetti giuridici che possano reimmettere nella rete gli eccessi di produzione.</w:t>
      </w:r>
    </w:p>
    <w:p w14:paraId="5CC27A12" w14:textId="77777777" w:rsidR="009C2AB2" w:rsidRPr="0077427C" w:rsidRDefault="009C2AB2" w:rsidP="009C2AB2">
      <w:pPr>
        <w:rPr>
          <w:rFonts w:ascii="Times New Roman" w:hAnsi="Times New Roman"/>
          <w:sz w:val="26"/>
          <w:szCs w:val="26"/>
        </w:rPr>
      </w:pPr>
      <w:r w:rsidRPr="0077427C">
        <w:rPr>
          <w:rFonts w:ascii="Times New Roman" w:hAnsi="Times New Roman"/>
          <w:sz w:val="26"/>
          <w:szCs w:val="26"/>
        </w:rPr>
        <w:t xml:space="preserve">In merito al documento SOA (Società Organismo di Attestazione, ovvero quei soggetti privati autorizzati al rilascio dell'attestazione SOA, riguardante la certificazione necessaria per poter partecipare a gare d'appalto pubbliche) richiesto per i lavori di recupero del patrimonio immobiliare che superino l’importo di 516 mila euro, FIMAA ha evidenziato come i </w:t>
      </w:r>
      <w:r w:rsidR="002421B2" w:rsidRPr="0077427C">
        <w:rPr>
          <w:rFonts w:ascii="Times New Roman" w:hAnsi="Times New Roman"/>
          <w:i/>
          <w:sz w:val="26"/>
          <w:szCs w:val="26"/>
        </w:rPr>
        <w:t>g</w:t>
      </w:r>
      <w:r w:rsidRPr="0077427C">
        <w:rPr>
          <w:rFonts w:ascii="Times New Roman" w:hAnsi="Times New Roman"/>
          <w:i/>
          <w:sz w:val="26"/>
          <w:szCs w:val="26"/>
        </w:rPr>
        <w:t>eneral contractor</w:t>
      </w:r>
      <w:r w:rsidRPr="0077427C">
        <w:rPr>
          <w:rFonts w:ascii="Times New Roman" w:hAnsi="Times New Roman"/>
          <w:sz w:val="26"/>
          <w:szCs w:val="26"/>
        </w:rPr>
        <w:t>, pur avendo la capacità progettuale e finanziaria per l’esecuzione di tali tipologie di lavori attraverso l’affidamento degli stessi a subappaltatori, non beneficiano direttamente dell’agevolazione fiscale dovendo affidare il contratto a soggetti dotati della qualifica SOA.</w:t>
      </w:r>
    </w:p>
    <w:p w14:paraId="2BD1E247" w14:textId="77777777" w:rsidR="005A61BE" w:rsidRPr="0077427C" w:rsidRDefault="005A61BE" w:rsidP="00862F6C">
      <w:pPr>
        <w:ind w:firstLine="0"/>
        <w:rPr>
          <w:rFonts w:ascii="Times New Roman" w:hAnsi="Times New Roman"/>
          <w:b/>
          <w:sz w:val="26"/>
          <w:szCs w:val="26"/>
        </w:rPr>
      </w:pPr>
    </w:p>
    <w:p w14:paraId="2DE27A30" w14:textId="77777777" w:rsidR="00EB4E60" w:rsidRPr="0077427C" w:rsidRDefault="00EB4E60" w:rsidP="0030211A">
      <w:pPr>
        <w:rPr>
          <w:rFonts w:ascii="Times New Roman" w:hAnsi="Times New Roman"/>
          <w:i/>
          <w:sz w:val="26"/>
          <w:szCs w:val="26"/>
        </w:rPr>
      </w:pPr>
      <w:r w:rsidRPr="0077427C">
        <w:rPr>
          <w:rFonts w:ascii="Times New Roman" w:hAnsi="Times New Roman"/>
          <w:b/>
          <w:sz w:val="26"/>
          <w:szCs w:val="26"/>
        </w:rPr>
        <w:t>ENEA</w:t>
      </w:r>
    </w:p>
    <w:p w14:paraId="64764659" w14:textId="66632746" w:rsidR="009C2AB2" w:rsidRPr="0077427C" w:rsidRDefault="009C2AB2" w:rsidP="009C2AB2">
      <w:pPr>
        <w:rPr>
          <w:rFonts w:ascii="Times New Roman" w:hAnsi="Times New Roman"/>
          <w:sz w:val="26"/>
          <w:szCs w:val="26"/>
        </w:rPr>
      </w:pPr>
      <w:r w:rsidRPr="0077427C">
        <w:rPr>
          <w:rFonts w:ascii="Times New Roman" w:hAnsi="Times New Roman"/>
          <w:sz w:val="26"/>
          <w:szCs w:val="26"/>
        </w:rPr>
        <w:t xml:space="preserve">ENEA </w:t>
      </w:r>
      <w:r w:rsidR="000F204A" w:rsidRPr="0077427C">
        <w:rPr>
          <w:rFonts w:ascii="Times New Roman" w:hAnsi="Times New Roman"/>
          <w:sz w:val="26"/>
          <w:szCs w:val="26"/>
        </w:rPr>
        <w:t>nell’</w:t>
      </w:r>
      <w:r w:rsidR="0030211A" w:rsidRPr="0077427C">
        <w:rPr>
          <w:rFonts w:ascii="Times New Roman" w:hAnsi="Times New Roman"/>
          <w:sz w:val="26"/>
          <w:szCs w:val="26"/>
        </w:rPr>
        <w:t>audizione del 6 settembre 2023</w:t>
      </w:r>
      <w:r w:rsidR="0030211A" w:rsidRPr="0077427C">
        <w:rPr>
          <w:rFonts w:ascii="Times New Roman" w:hAnsi="Times New Roman"/>
          <w:i/>
          <w:sz w:val="26"/>
          <w:szCs w:val="26"/>
        </w:rPr>
        <w:t xml:space="preserve"> </w:t>
      </w:r>
      <w:r w:rsidRPr="0077427C">
        <w:rPr>
          <w:rFonts w:ascii="Times New Roman" w:hAnsi="Times New Roman"/>
          <w:sz w:val="26"/>
          <w:szCs w:val="26"/>
        </w:rPr>
        <w:t xml:space="preserve">ha evidenziato che nel periodo 2014-2021 sono stati realizzati circa 3,7 milioni di interventi con </w:t>
      </w:r>
      <w:r w:rsidRPr="0077427C">
        <w:rPr>
          <w:rFonts w:ascii="Times New Roman" w:hAnsi="Times New Roman"/>
          <w:i/>
          <w:sz w:val="26"/>
          <w:szCs w:val="26"/>
        </w:rPr>
        <w:t>l'ecobonus</w:t>
      </w:r>
      <w:r w:rsidRPr="0077427C">
        <w:rPr>
          <w:rFonts w:ascii="Times New Roman" w:hAnsi="Times New Roman"/>
          <w:sz w:val="26"/>
          <w:szCs w:val="26"/>
        </w:rPr>
        <w:t xml:space="preserve">, di cui oltre un milione soltanto nel 2021 e i dati per il 2022 confermano </w:t>
      </w:r>
      <w:proofErr w:type="gramStart"/>
      <w:r w:rsidRPr="0077427C">
        <w:rPr>
          <w:rFonts w:ascii="Times New Roman" w:hAnsi="Times New Roman"/>
          <w:sz w:val="26"/>
          <w:szCs w:val="26"/>
        </w:rPr>
        <w:t xml:space="preserve">un </w:t>
      </w:r>
      <w:r w:rsidRPr="0077427C">
        <w:rPr>
          <w:rFonts w:ascii="Times New Roman" w:hAnsi="Times New Roman"/>
          <w:i/>
          <w:sz w:val="26"/>
          <w:szCs w:val="26"/>
        </w:rPr>
        <w:t>trend</w:t>
      </w:r>
      <w:proofErr w:type="gramEnd"/>
      <w:r w:rsidRPr="0077427C">
        <w:rPr>
          <w:rFonts w:ascii="Times New Roman" w:hAnsi="Times New Roman"/>
          <w:i/>
          <w:sz w:val="26"/>
          <w:szCs w:val="26"/>
        </w:rPr>
        <w:t xml:space="preserve"> </w:t>
      </w:r>
      <w:r w:rsidRPr="0077427C">
        <w:rPr>
          <w:rFonts w:ascii="Times New Roman" w:hAnsi="Times New Roman"/>
          <w:sz w:val="26"/>
          <w:szCs w:val="26"/>
        </w:rPr>
        <w:t xml:space="preserve">in grande crescita. In particolare, ha segnalato che nel solo anno 2021 sono stati attivati 7 miliardi e mezzo di euro di investimenti e negli ultimi otto anni gli investimenti attivati sono di circa 31 miliardi di euro, che salgono a 41 dal 2011 e 53 miliardi dall'avvio dei meccanismi incentivanti, avvenuto nel 2007. Quanto ai risultati ottenuti in termini di risparmio energetico, l’ENEA sottolinea che nel 2021, rispetto al 2020, è stato ottenuto un risparmio di circa 2.600 GWh/anno e considerando un arco temporale più lungo si </w:t>
      </w:r>
      <w:r w:rsidR="00F01088" w:rsidRPr="0077427C">
        <w:rPr>
          <w:rFonts w:ascii="Times New Roman" w:hAnsi="Times New Roman"/>
          <w:sz w:val="26"/>
          <w:szCs w:val="26"/>
        </w:rPr>
        <w:t xml:space="preserve">rileva </w:t>
      </w:r>
      <w:r w:rsidRPr="0077427C">
        <w:rPr>
          <w:rFonts w:ascii="Times New Roman" w:hAnsi="Times New Roman"/>
          <w:sz w:val="26"/>
          <w:szCs w:val="26"/>
        </w:rPr>
        <w:t xml:space="preserve">che a partire dal 2011 il risparmio energetico </w:t>
      </w:r>
      <w:r w:rsidR="00F01088" w:rsidRPr="0077427C">
        <w:rPr>
          <w:rFonts w:ascii="Times New Roman" w:hAnsi="Times New Roman"/>
          <w:sz w:val="26"/>
          <w:szCs w:val="26"/>
        </w:rPr>
        <w:t>ha superato</w:t>
      </w:r>
      <w:r w:rsidRPr="0077427C">
        <w:rPr>
          <w:rFonts w:ascii="Times New Roman" w:hAnsi="Times New Roman"/>
          <w:sz w:val="26"/>
          <w:szCs w:val="26"/>
        </w:rPr>
        <w:t xml:space="preserve"> i 15.300 GWh/anno (22.600 GWh/</w:t>
      </w:r>
      <w:proofErr w:type="spellStart"/>
      <w:r w:rsidRPr="0077427C">
        <w:rPr>
          <w:rFonts w:ascii="Times New Roman" w:hAnsi="Times New Roman"/>
          <w:sz w:val="26"/>
          <w:szCs w:val="26"/>
        </w:rPr>
        <w:t>anno</w:t>
      </w:r>
      <w:proofErr w:type="spellEnd"/>
      <w:r w:rsidRPr="0077427C">
        <w:rPr>
          <w:rFonts w:ascii="Times New Roman" w:hAnsi="Times New Roman"/>
          <w:sz w:val="26"/>
          <w:szCs w:val="26"/>
        </w:rPr>
        <w:t xml:space="preserve"> dall'avvio del meccanismo di incentivazione, ovvero dal 2007).</w:t>
      </w:r>
    </w:p>
    <w:p w14:paraId="2875A60A" w14:textId="77777777" w:rsidR="009C2AB2" w:rsidRPr="0077427C" w:rsidRDefault="009C2AB2" w:rsidP="009C2AB2">
      <w:pPr>
        <w:rPr>
          <w:rFonts w:ascii="Times New Roman" w:hAnsi="Times New Roman"/>
          <w:sz w:val="26"/>
          <w:szCs w:val="26"/>
        </w:rPr>
      </w:pPr>
      <w:r w:rsidRPr="0077427C">
        <w:rPr>
          <w:rFonts w:ascii="Times New Roman" w:hAnsi="Times New Roman"/>
          <w:sz w:val="26"/>
          <w:szCs w:val="26"/>
        </w:rPr>
        <w:t xml:space="preserve">Per quanto riguarda il superbonus, secondo l’ENEA i dati mostrano </w:t>
      </w:r>
      <w:proofErr w:type="gramStart"/>
      <w:r w:rsidRPr="0077427C">
        <w:rPr>
          <w:rFonts w:ascii="Times New Roman" w:hAnsi="Times New Roman"/>
          <w:sz w:val="26"/>
          <w:szCs w:val="26"/>
        </w:rPr>
        <w:t>un trend</w:t>
      </w:r>
      <w:proofErr w:type="gramEnd"/>
      <w:r w:rsidRPr="0077427C">
        <w:rPr>
          <w:rFonts w:ascii="Times New Roman" w:hAnsi="Times New Roman"/>
          <w:sz w:val="26"/>
          <w:szCs w:val="26"/>
        </w:rPr>
        <w:t xml:space="preserve"> in continua crescita: tra il 31 marzo 2022 e il 31 agosto 2023 c'è stato un incremento medio del 75 per cento, e questo in ogni regione d'Italia, indipendentemente dal numero di abitanti e dal reddito pro-capite regionali.</w:t>
      </w:r>
    </w:p>
    <w:p w14:paraId="446FA214" w14:textId="77777777" w:rsidR="009C2AB2" w:rsidRPr="0077427C" w:rsidRDefault="009C2AB2" w:rsidP="009C2AB2">
      <w:pPr>
        <w:rPr>
          <w:rFonts w:ascii="Times New Roman" w:hAnsi="Times New Roman"/>
          <w:sz w:val="26"/>
          <w:szCs w:val="26"/>
        </w:rPr>
      </w:pPr>
      <w:r w:rsidRPr="0077427C">
        <w:rPr>
          <w:rFonts w:ascii="Times New Roman" w:hAnsi="Times New Roman"/>
          <w:sz w:val="26"/>
          <w:szCs w:val="26"/>
        </w:rPr>
        <w:t>Un altro dato degno di nota è l'aumento del costo medio per tipologia di edificio, pari al 12% per i condomini, al 5% per gli edifici unifamiliari e all'1,5% per le unità funzionalmente indipendenti. Il totale degli investimenti ammessi a detrazione al 31 agosto 2023 ammonta a 85 miliardi di euro, mentre il totale degli investimenti per lavori conclusi ammessi a detrazione ammonta a 69,6 miliardi (81,9% sul totale).</w:t>
      </w:r>
    </w:p>
    <w:p w14:paraId="09A9A7F2" w14:textId="77777777" w:rsidR="009C2AB2" w:rsidRPr="0077427C" w:rsidRDefault="009C2AB2" w:rsidP="009C2AB2">
      <w:pPr>
        <w:rPr>
          <w:rFonts w:ascii="Times New Roman" w:hAnsi="Times New Roman"/>
          <w:sz w:val="26"/>
          <w:szCs w:val="26"/>
        </w:rPr>
      </w:pPr>
      <w:r w:rsidRPr="0077427C">
        <w:rPr>
          <w:rFonts w:ascii="Times New Roman" w:hAnsi="Times New Roman"/>
          <w:sz w:val="26"/>
          <w:szCs w:val="26"/>
        </w:rPr>
        <w:t>Si stima, per gli interventi in questione, un risparmio totale di circa 12</w:t>
      </w:r>
      <w:r w:rsidR="006D617F" w:rsidRPr="0077427C">
        <w:rPr>
          <w:rFonts w:ascii="Times New Roman" w:hAnsi="Times New Roman"/>
          <w:sz w:val="26"/>
          <w:szCs w:val="26"/>
        </w:rPr>
        <w:t>mila</w:t>
      </w:r>
      <w:r w:rsidRPr="0077427C">
        <w:rPr>
          <w:rFonts w:ascii="Times New Roman" w:hAnsi="Times New Roman"/>
          <w:sz w:val="26"/>
          <w:szCs w:val="26"/>
        </w:rPr>
        <w:t xml:space="preserve"> GWh/anno</w:t>
      </w:r>
      <w:r w:rsidR="006D617F" w:rsidRPr="0077427C">
        <w:rPr>
          <w:rFonts w:ascii="Times New Roman" w:hAnsi="Times New Roman"/>
          <w:sz w:val="26"/>
          <w:szCs w:val="26"/>
        </w:rPr>
        <w:t>.</w:t>
      </w:r>
    </w:p>
    <w:p w14:paraId="4C9C97C0" w14:textId="77777777" w:rsidR="009C2AB2" w:rsidRPr="0077427C" w:rsidRDefault="009C2AB2" w:rsidP="009C2AB2">
      <w:pPr>
        <w:rPr>
          <w:rFonts w:ascii="Times New Roman" w:hAnsi="Times New Roman"/>
          <w:sz w:val="26"/>
          <w:szCs w:val="26"/>
        </w:rPr>
      </w:pPr>
      <w:r w:rsidRPr="0077427C">
        <w:rPr>
          <w:rFonts w:ascii="Times New Roman" w:hAnsi="Times New Roman"/>
          <w:sz w:val="26"/>
          <w:szCs w:val="26"/>
        </w:rPr>
        <w:t>Sulla base di tali dati, secondo l’ENEA si può affermare che in questi quindici anni di politiche di promozione dell'efficienza energetica il bilancio certamente è positivo, anche in termini di “alfabetizzazione” degli utenti e dei professionisti sul tema dell'efficienza energetica, che è un tema di cui quindici anni fa non si parlava affatto.</w:t>
      </w:r>
    </w:p>
    <w:p w14:paraId="2E767A5E" w14:textId="77777777" w:rsidR="009C2AB2" w:rsidRPr="0077427C" w:rsidRDefault="009C2AB2" w:rsidP="009C2AB2">
      <w:pPr>
        <w:rPr>
          <w:rFonts w:ascii="Times New Roman" w:hAnsi="Times New Roman"/>
          <w:sz w:val="26"/>
          <w:szCs w:val="26"/>
        </w:rPr>
      </w:pPr>
      <w:r w:rsidRPr="0077427C">
        <w:rPr>
          <w:rFonts w:ascii="Times New Roman" w:hAnsi="Times New Roman"/>
          <w:sz w:val="26"/>
          <w:szCs w:val="26"/>
        </w:rPr>
        <w:t>Inoltre, secondo l’ENEA, anche alla luce delle iniziative in atto a livello europeo (il riferimento è soprattutto al programma per la ristrutturazione dedicato agli edifici lanciato dalla Commissione UE che prevede dei target molto ambiziosi), in futuro occorrerà proseguire nella riqualificazione del parco immobiliare italiano. Per questo motivo, secondo ENEA</w:t>
      </w:r>
      <w:r w:rsidR="00572C13" w:rsidRPr="0077427C">
        <w:rPr>
          <w:rFonts w:ascii="Times New Roman" w:hAnsi="Times New Roman"/>
          <w:sz w:val="26"/>
          <w:szCs w:val="26"/>
        </w:rPr>
        <w:t>,</w:t>
      </w:r>
      <w:r w:rsidRPr="0077427C">
        <w:rPr>
          <w:rFonts w:ascii="Times New Roman" w:hAnsi="Times New Roman"/>
          <w:sz w:val="26"/>
          <w:szCs w:val="26"/>
        </w:rPr>
        <w:t xml:space="preserve"> occorre:</w:t>
      </w:r>
    </w:p>
    <w:p w14:paraId="124124EB" w14:textId="77777777" w:rsidR="009C2AB2" w:rsidRPr="0077427C" w:rsidRDefault="009C2AB2" w:rsidP="009C2AB2">
      <w:pPr>
        <w:rPr>
          <w:rFonts w:ascii="Times New Roman" w:hAnsi="Times New Roman"/>
          <w:sz w:val="26"/>
          <w:szCs w:val="26"/>
        </w:rPr>
      </w:pPr>
      <w:r w:rsidRPr="0077427C">
        <w:rPr>
          <w:rFonts w:ascii="Times New Roman" w:hAnsi="Times New Roman"/>
          <w:sz w:val="26"/>
          <w:szCs w:val="26"/>
        </w:rPr>
        <w:t>- un completo riordino delle misure di sostegno allo scopo di fornire un quadro di regole chiaro e stabile nel lungo periodo;</w:t>
      </w:r>
    </w:p>
    <w:p w14:paraId="68320AC2" w14:textId="77777777" w:rsidR="009C2AB2" w:rsidRPr="0077427C" w:rsidRDefault="009C2AB2" w:rsidP="009C2AB2">
      <w:pPr>
        <w:rPr>
          <w:rFonts w:ascii="Times New Roman" w:hAnsi="Times New Roman"/>
          <w:sz w:val="26"/>
          <w:szCs w:val="26"/>
        </w:rPr>
      </w:pPr>
      <w:r w:rsidRPr="0077427C">
        <w:rPr>
          <w:rFonts w:ascii="Times New Roman" w:hAnsi="Times New Roman"/>
          <w:sz w:val="26"/>
          <w:szCs w:val="26"/>
        </w:rPr>
        <w:t>- semplificare e velocizzare le procedure e adottare un sistema di incentivi basato fondamentalmente su costi specifici controllati e sugli effettivi risparmi ottenibili a seguito degli interventi, anche separando gli incentivi per l’efficientamento energetico da quelli per gli interventi antisismici;</w:t>
      </w:r>
    </w:p>
    <w:p w14:paraId="62D3A7F0" w14:textId="77777777" w:rsidR="009C2AB2" w:rsidRPr="0077427C" w:rsidRDefault="009C2AB2" w:rsidP="009C2AB2">
      <w:pPr>
        <w:rPr>
          <w:rFonts w:ascii="Times New Roman" w:hAnsi="Times New Roman"/>
          <w:sz w:val="26"/>
          <w:szCs w:val="26"/>
        </w:rPr>
      </w:pPr>
      <w:r w:rsidRPr="0077427C">
        <w:rPr>
          <w:rFonts w:ascii="Times New Roman" w:hAnsi="Times New Roman"/>
          <w:sz w:val="26"/>
          <w:szCs w:val="26"/>
        </w:rPr>
        <w:t>- l’avvio di cambiamenti sostanziali nel settore delle costruzioni per quanto riguarda la formazione, i fabbisogni di qualificazione e certificazione, le nuove competenze, le innovazioni e le migliori pratiche allo scopo di ridurre tempi e costi delle riqualificazioni degli edifici con elevati standard di qualità;</w:t>
      </w:r>
    </w:p>
    <w:p w14:paraId="6CDE9EDE" w14:textId="77777777" w:rsidR="009C2AB2" w:rsidRPr="0077427C" w:rsidRDefault="009C2AB2" w:rsidP="009C2AB2">
      <w:pPr>
        <w:rPr>
          <w:rFonts w:ascii="Times New Roman" w:hAnsi="Times New Roman"/>
          <w:sz w:val="26"/>
          <w:szCs w:val="26"/>
        </w:rPr>
      </w:pPr>
      <w:r w:rsidRPr="0077427C">
        <w:rPr>
          <w:rFonts w:ascii="Times New Roman" w:hAnsi="Times New Roman"/>
          <w:sz w:val="26"/>
          <w:szCs w:val="26"/>
        </w:rPr>
        <w:t>- rivedere la classificazione degli edifici in funzione della loro efficienza, tenuto conto che sussistono in materia profonde differenze tra gli Stati membri dell’UE, in particolare per l’applicazione della nuova direttiva EPBD;</w:t>
      </w:r>
    </w:p>
    <w:p w14:paraId="33818E14" w14:textId="77777777" w:rsidR="009C2AB2" w:rsidRPr="0077427C" w:rsidRDefault="009C2AB2" w:rsidP="009C2AB2">
      <w:pPr>
        <w:rPr>
          <w:rFonts w:ascii="Times New Roman" w:hAnsi="Times New Roman"/>
          <w:sz w:val="26"/>
          <w:szCs w:val="26"/>
        </w:rPr>
      </w:pPr>
      <w:r w:rsidRPr="0077427C">
        <w:rPr>
          <w:rFonts w:ascii="Times New Roman" w:hAnsi="Times New Roman"/>
          <w:sz w:val="26"/>
          <w:szCs w:val="26"/>
        </w:rPr>
        <w:t>- rivedere la classificazione climatica del territorio nazionale, aggiornando le norme sui “gradi giorno” di cui al D.P.R. 412/1993.</w:t>
      </w:r>
    </w:p>
    <w:p w14:paraId="0C34709B" w14:textId="77777777" w:rsidR="009C2AB2" w:rsidRPr="0077427C" w:rsidRDefault="009C2AB2" w:rsidP="009C2AB2">
      <w:pPr>
        <w:rPr>
          <w:rFonts w:ascii="Times New Roman" w:hAnsi="Times New Roman"/>
          <w:sz w:val="26"/>
          <w:szCs w:val="26"/>
        </w:rPr>
      </w:pPr>
    </w:p>
    <w:p w14:paraId="52D0ADE5" w14:textId="77777777" w:rsidR="00EB4E60" w:rsidRPr="0077427C" w:rsidRDefault="00EB4E60" w:rsidP="009C2AB2">
      <w:pPr>
        <w:rPr>
          <w:rFonts w:ascii="Times New Roman" w:hAnsi="Times New Roman"/>
          <w:b/>
          <w:i/>
          <w:sz w:val="26"/>
          <w:szCs w:val="26"/>
        </w:rPr>
      </w:pPr>
      <w:r w:rsidRPr="0077427C">
        <w:rPr>
          <w:rFonts w:ascii="Times New Roman" w:hAnsi="Times New Roman"/>
          <w:b/>
          <w:sz w:val="26"/>
          <w:szCs w:val="26"/>
        </w:rPr>
        <w:t xml:space="preserve">GSE </w:t>
      </w:r>
      <w:r w:rsidR="001B2B3E" w:rsidRPr="0077427C">
        <w:rPr>
          <w:rFonts w:ascii="Times New Roman" w:hAnsi="Times New Roman"/>
          <w:b/>
          <w:sz w:val="26"/>
          <w:szCs w:val="26"/>
        </w:rPr>
        <w:t xml:space="preserve">- </w:t>
      </w:r>
      <w:r w:rsidRPr="0077427C">
        <w:rPr>
          <w:rFonts w:ascii="Times New Roman" w:hAnsi="Times New Roman"/>
          <w:b/>
          <w:sz w:val="26"/>
          <w:szCs w:val="26"/>
        </w:rPr>
        <w:t>Gestore dei servizi energetici</w:t>
      </w:r>
      <w:r w:rsidR="00414A46" w:rsidRPr="0077427C">
        <w:rPr>
          <w:rFonts w:ascii="Times New Roman" w:hAnsi="Times New Roman"/>
          <w:b/>
          <w:i/>
          <w:sz w:val="26"/>
          <w:szCs w:val="26"/>
        </w:rPr>
        <w:t xml:space="preserve"> </w:t>
      </w:r>
    </w:p>
    <w:p w14:paraId="2AABFDE3" w14:textId="77777777" w:rsidR="009C2AB2" w:rsidRPr="0077427C" w:rsidRDefault="00844ECD" w:rsidP="009C2AB2">
      <w:pPr>
        <w:rPr>
          <w:rFonts w:ascii="Times New Roman" w:hAnsi="Times New Roman"/>
          <w:sz w:val="26"/>
          <w:szCs w:val="26"/>
        </w:rPr>
      </w:pPr>
      <w:r w:rsidRPr="0077427C">
        <w:rPr>
          <w:rFonts w:ascii="Times New Roman" w:hAnsi="Times New Roman"/>
          <w:sz w:val="26"/>
          <w:szCs w:val="26"/>
        </w:rPr>
        <w:t>Nell’audizione del 6 settembre 2023</w:t>
      </w:r>
      <w:r w:rsidR="009C2AB2" w:rsidRPr="0077427C">
        <w:rPr>
          <w:rFonts w:ascii="Times New Roman" w:hAnsi="Times New Roman"/>
          <w:b/>
          <w:sz w:val="26"/>
          <w:szCs w:val="26"/>
        </w:rPr>
        <w:t xml:space="preserve"> </w:t>
      </w:r>
      <w:r w:rsidR="009C2AB2" w:rsidRPr="0077427C">
        <w:rPr>
          <w:rFonts w:ascii="Times New Roman" w:hAnsi="Times New Roman"/>
          <w:sz w:val="26"/>
          <w:szCs w:val="26"/>
        </w:rPr>
        <w:t>– dopo aver rimarcato che il settore civile presenta un enorme potenziale in termini di contributo di riduzione delle emissioni di CO2 e che l’aggiornamento del PNIEC trasmesso all’UE il 19 luglio 2023 dà ampio spazio al tema dell'efficientamento energetico – ha illustrato gli strumenti da esso gestiti.</w:t>
      </w:r>
    </w:p>
    <w:p w14:paraId="2337C32F" w14:textId="77777777" w:rsidR="009C2AB2" w:rsidRPr="0077427C" w:rsidRDefault="009C2AB2" w:rsidP="009C2AB2">
      <w:pPr>
        <w:rPr>
          <w:rFonts w:ascii="Times New Roman" w:hAnsi="Times New Roman"/>
          <w:sz w:val="26"/>
          <w:szCs w:val="26"/>
        </w:rPr>
      </w:pPr>
      <w:r w:rsidRPr="0077427C">
        <w:rPr>
          <w:rFonts w:ascii="Times New Roman" w:hAnsi="Times New Roman"/>
          <w:sz w:val="26"/>
          <w:szCs w:val="26"/>
        </w:rPr>
        <w:t xml:space="preserve">In relazione al Conto termico, il GSE evidenzia che lo stesso ha mostrato nel corso degli anni </w:t>
      </w:r>
      <w:proofErr w:type="gramStart"/>
      <w:r w:rsidRPr="0077427C">
        <w:rPr>
          <w:rFonts w:ascii="Times New Roman" w:hAnsi="Times New Roman"/>
          <w:sz w:val="26"/>
          <w:szCs w:val="26"/>
        </w:rPr>
        <w:t>un ottimo trend</w:t>
      </w:r>
      <w:proofErr w:type="gramEnd"/>
      <w:r w:rsidRPr="0077427C">
        <w:rPr>
          <w:rFonts w:ascii="Times New Roman" w:hAnsi="Times New Roman"/>
          <w:sz w:val="26"/>
          <w:szCs w:val="26"/>
        </w:rPr>
        <w:t xml:space="preserve"> di crescita: nei dieci anni di gestione dello strumento risultano contrattualizzate circa 534 mila richieste di installazione di impianti per la produzione di energia termica da fonti rinnovabili e sono stati riconosciuti incentivi per 1,6 miliardi di euro.</w:t>
      </w:r>
    </w:p>
    <w:p w14:paraId="2D47B41F" w14:textId="77777777" w:rsidR="009C2AB2" w:rsidRPr="0077427C" w:rsidRDefault="009C2AB2" w:rsidP="009C2AB2">
      <w:pPr>
        <w:rPr>
          <w:rFonts w:ascii="Times New Roman" w:hAnsi="Times New Roman"/>
          <w:sz w:val="26"/>
          <w:szCs w:val="26"/>
        </w:rPr>
      </w:pPr>
      <w:r w:rsidRPr="0077427C">
        <w:rPr>
          <w:rFonts w:ascii="Times New Roman" w:hAnsi="Times New Roman"/>
          <w:sz w:val="26"/>
          <w:szCs w:val="26"/>
        </w:rPr>
        <w:t xml:space="preserve">Nel 2022 c’è stata una leggera flessione, perché alcuni interventi (come l'installazione di impianti a biomasse e pompe di calore) sono parimenti incentivati </w:t>
      </w:r>
      <w:r w:rsidRPr="0077427C">
        <w:rPr>
          <w:rFonts w:ascii="Times New Roman" w:hAnsi="Times New Roman"/>
          <w:i/>
          <w:sz w:val="26"/>
          <w:szCs w:val="26"/>
        </w:rPr>
        <w:t>dall'ecobonus</w:t>
      </w:r>
      <w:r w:rsidRPr="0077427C">
        <w:rPr>
          <w:rFonts w:ascii="Times New Roman" w:hAnsi="Times New Roman"/>
          <w:sz w:val="26"/>
          <w:szCs w:val="26"/>
        </w:rPr>
        <w:t xml:space="preserve"> e dal </w:t>
      </w:r>
      <w:r w:rsidRPr="0077427C">
        <w:rPr>
          <w:rFonts w:ascii="Times New Roman" w:hAnsi="Times New Roman"/>
          <w:i/>
          <w:sz w:val="26"/>
          <w:szCs w:val="26"/>
        </w:rPr>
        <w:t>superbonus</w:t>
      </w:r>
      <w:r w:rsidRPr="0077427C">
        <w:rPr>
          <w:rFonts w:ascii="Times New Roman" w:hAnsi="Times New Roman"/>
          <w:sz w:val="26"/>
          <w:szCs w:val="26"/>
        </w:rPr>
        <w:t>, per cui diversi soggetti hanno preferito ricorrere a questi meccanismi di incentivazione anziché al Conto termico.</w:t>
      </w:r>
    </w:p>
    <w:p w14:paraId="32D5DF21" w14:textId="77777777" w:rsidR="009C2AB2" w:rsidRPr="0077427C" w:rsidRDefault="009C2AB2" w:rsidP="009C2AB2">
      <w:pPr>
        <w:rPr>
          <w:rFonts w:ascii="Times New Roman" w:hAnsi="Times New Roman"/>
          <w:sz w:val="26"/>
          <w:szCs w:val="26"/>
        </w:rPr>
      </w:pPr>
      <w:r w:rsidRPr="0077427C">
        <w:rPr>
          <w:rFonts w:ascii="Times New Roman" w:hAnsi="Times New Roman"/>
          <w:sz w:val="26"/>
          <w:szCs w:val="26"/>
        </w:rPr>
        <w:t>Per quanto riguarda invece gli interventi di efficientamento energetico per la pubblica amministrazione, gli interventi, sempre nel decennio 2013-2022, sono stati 21 mila, per un riconoscimento di incentivi pari a 290 milioni di euro.</w:t>
      </w:r>
    </w:p>
    <w:p w14:paraId="51DDD4F8" w14:textId="77777777" w:rsidR="009C2AB2" w:rsidRPr="0077427C" w:rsidRDefault="009C2AB2" w:rsidP="009C2AB2">
      <w:pPr>
        <w:rPr>
          <w:rFonts w:ascii="Times New Roman" w:hAnsi="Times New Roman"/>
          <w:sz w:val="26"/>
          <w:szCs w:val="26"/>
        </w:rPr>
      </w:pPr>
      <w:r w:rsidRPr="0077427C">
        <w:rPr>
          <w:rFonts w:ascii="Times New Roman" w:hAnsi="Times New Roman"/>
          <w:sz w:val="26"/>
          <w:szCs w:val="26"/>
        </w:rPr>
        <w:t xml:space="preserve">Concentrando l’analisi sul 2022, gli interventi contrattualizzati con il Conto termico hanno consentito l'attivazione di 520 milioni di euro di investimenti, la produzione di 130 </w:t>
      </w:r>
      <w:proofErr w:type="spellStart"/>
      <w:r w:rsidRPr="0077427C">
        <w:rPr>
          <w:rFonts w:ascii="Times New Roman" w:hAnsi="Times New Roman"/>
          <w:sz w:val="26"/>
          <w:szCs w:val="26"/>
        </w:rPr>
        <w:t>chilotep</w:t>
      </w:r>
      <w:proofErr w:type="spellEnd"/>
      <w:r w:rsidRPr="0077427C">
        <w:rPr>
          <w:rFonts w:ascii="Times New Roman" w:hAnsi="Times New Roman"/>
          <w:sz w:val="26"/>
          <w:szCs w:val="26"/>
        </w:rPr>
        <w:t xml:space="preserve"> di energia termica da fonti rinnovabili, il risparmio di 65 </w:t>
      </w:r>
      <w:proofErr w:type="spellStart"/>
      <w:r w:rsidRPr="0077427C">
        <w:rPr>
          <w:rFonts w:ascii="Times New Roman" w:hAnsi="Times New Roman"/>
          <w:sz w:val="26"/>
          <w:szCs w:val="26"/>
        </w:rPr>
        <w:t>chilotep</w:t>
      </w:r>
      <w:proofErr w:type="spellEnd"/>
      <w:r w:rsidRPr="0077427C">
        <w:rPr>
          <w:rFonts w:ascii="Times New Roman" w:hAnsi="Times New Roman"/>
          <w:sz w:val="26"/>
          <w:szCs w:val="26"/>
        </w:rPr>
        <w:t xml:space="preserve"> di energia finale e di oltre 190 migliaia di tonnellate di CO2.</w:t>
      </w:r>
    </w:p>
    <w:p w14:paraId="46402215" w14:textId="77777777" w:rsidR="009C2AB2" w:rsidRPr="0077427C" w:rsidRDefault="009C2AB2" w:rsidP="009C2AB2">
      <w:pPr>
        <w:rPr>
          <w:rFonts w:ascii="Times New Roman" w:hAnsi="Times New Roman"/>
          <w:sz w:val="26"/>
          <w:szCs w:val="26"/>
        </w:rPr>
      </w:pPr>
      <w:r w:rsidRPr="0077427C">
        <w:rPr>
          <w:rFonts w:ascii="Times New Roman" w:hAnsi="Times New Roman"/>
          <w:sz w:val="26"/>
          <w:szCs w:val="26"/>
        </w:rPr>
        <w:t xml:space="preserve">Gli intendimenti del GSE per il futuro sono quelli di una revisione della disciplina del Conto termico, che per esempio estenda la platea dei beneficiari al settore terziario e agli enti del terzo settore. Il GSE auspica inoltre l’introduzione di semplificazioni per l'accesso al meccanismo soprattutto per le pubbliche amministrazioni, nonché il riconoscimento dell'incentivazione per progetti </w:t>
      </w:r>
      <w:proofErr w:type="gramStart"/>
      <w:r w:rsidRPr="0077427C">
        <w:rPr>
          <w:rFonts w:ascii="Times New Roman" w:hAnsi="Times New Roman"/>
          <w:sz w:val="26"/>
          <w:szCs w:val="26"/>
        </w:rPr>
        <w:t>multi intervento</w:t>
      </w:r>
      <w:proofErr w:type="gramEnd"/>
      <w:r w:rsidRPr="0077427C">
        <w:rPr>
          <w:rFonts w:ascii="Times New Roman" w:hAnsi="Times New Roman"/>
          <w:sz w:val="26"/>
          <w:szCs w:val="26"/>
        </w:rPr>
        <w:t xml:space="preserve">, che ricomprendono l'installazione di impianti fotovoltaici, di accumuli, i sistemi di ricarica, comunità energetiche rinnovabili, allacciamento alle reti di </w:t>
      </w:r>
      <w:r w:rsidR="00260594" w:rsidRPr="0077427C">
        <w:rPr>
          <w:rFonts w:ascii="Times New Roman" w:hAnsi="Times New Roman"/>
          <w:sz w:val="26"/>
          <w:szCs w:val="26"/>
        </w:rPr>
        <w:t>pubblico</w:t>
      </w:r>
      <w:r w:rsidRPr="0077427C">
        <w:rPr>
          <w:rFonts w:ascii="Times New Roman" w:hAnsi="Times New Roman"/>
          <w:sz w:val="26"/>
          <w:szCs w:val="26"/>
        </w:rPr>
        <w:t>.</w:t>
      </w:r>
    </w:p>
    <w:p w14:paraId="2568605D" w14:textId="77777777" w:rsidR="009C2AB2" w:rsidRPr="0077427C" w:rsidRDefault="009C2AB2" w:rsidP="009C2AB2">
      <w:pPr>
        <w:rPr>
          <w:rFonts w:ascii="Times New Roman" w:hAnsi="Times New Roman"/>
          <w:sz w:val="26"/>
          <w:szCs w:val="26"/>
        </w:rPr>
      </w:pPr>
      <w:r w:rsidRPr="0077427C">
        <w:rPr>
          <w:rFonts w:ascii="Times New Roman" w:hAnsi="Times New Roman"/>
          <w:sz w:val="26"/>
          <w:szCs w:val="26"/>
        </w:rPr>
        <w:t xml:space="preserve">I dati presentati dal GSE mostrano un aumento importante dal 2005 al 2021 delle emissioni evitate. </w:t>
      </w:r>
      <w:proofErr w:type="gramStart"/>
      <w:r w:rsidRPr="0077427C">
        <w:rPr>
          <w:rFonts w:ascii="Times New Roman" w:hAnsi="Times New Roman"/>
          <w:sz w:val="26"/>
          <w:szCs w:val="26"/>
        </w:rPr>
        <w:t>Inoltre</w:t>
      </w:r>
      <w:proofErr w:type="gramEnd"/>
      <w:r w:rsidRPr="0077427C">
        <w:rPr>
          <w:rFonts w:ascii="Times New Roman" w:hAnsi="Times New Roman"/>
          <w:sz w:val="26"/>
          <w:szCs w:val="26"/>
        </w:rPr>
        <w:t xml:space="preserve"> il GSE evidenzia che l’energia prodotta dagli impianti fotovoltaici ha contribuito nel 2021 a evitare l’immissione in atmosfera di circa 12 milioni di tonnellate di CO2eq, sul totale di 55 milioni di tonnellate di CO2eq evitate riferite a tutte le tecnologie FER elettriche.</w:t>
      </w:r>
    </w:p>
    <w:p w14:paraId="3045965E" w14:textId="77777777" w:rsidR="009C2AB2" w:rsidRPr="0077427C" w:rsidRDefault="009C2AB2" w:rsidP="009C2AB2">
      <w:pPr>
        <w:rPr>
          <w:rFonts w:ascii="Times New Roman" w:hAnsi="Times New Roman"/>
          <w:sz w:val="26"/>
          <w:szCs w:val="26"/>
        </w:rPr>
      </w:pPr>
      <w:r w:rsidRPr="0077427C">
        <w:rPr>
          <w:rFonts w:ascii="Times New Roman" w:hAnsi="Times New Roman"/>
          <w:sz w:val="26"/>
          <w:szCs w:val="26"/>
        </w:rPr>
        <w:t>Secondo il GSE, infine, in prospettiva futura occorre individuare dei meccanismi di incentivazione:</w:t>
      </w:r>
    </w:p>
    <w:p w14:paraId="78A67208" w14:textId="77777777" w:rsidR="009C2AB2" w:rsidRPr="0077427C" w:rsidRDefault="009C2AB2" w:rsidP="009C2AB2">
      <w:pPr>
        <w:rPr>
          <w:rFonts w:ascii="Times New Roman" w:hAnsi="Times New Roman"/>
          <w:sz w:val="26"/>
          <w:szCs w:val="26"/>
        </w:rPr>
      </w:pPr>
      <w:r w:rsidRPr="0077427C">
        <w:rPr>
          <w:rFonts w:ascii="Times New Roman" w:hAnsi="Times New Roman"/>
          <w:sz w:val="26"/>
          <w:szCs w:val="26"/>
        </w:rPr>
        <w:t>- che portino a un rapporto costi-benefici importante;</w:t>
      </w:r>
    </w:p>
    <w:p w14:paraId="24718D9A" w14:textId="7A36B970" w:rsidR="009C2AB2" w:rsidRPr="0077427C" w:rsidRDefault="009C2AB2" w:rsidP="00F01088">
      <w:pPr>
        <w:rPr>
          <w:rFonts w:ascii="Times New Roman" w:hAnsi="Times New Roman"/>
          <w:sz w:val="26"/>
          <w:szCs w:val="26"/>
        </w:rPr>
      </w:pPr>
      <w:r w:rsidRPr="0077427C">
        <w:rPr>
          <w:rFonts w:ascii="Times New Roman" w:hAnsi="Times New Roman"/>
          <w:sz w:val="26"/>
          <w:szCs w:val="26"/>
        </w:rPr>
        <w:t>- che non si sovrappongano fra loro (c</w:t>
      </w:r>
      <w:r w:rsidR="00F01088" w:rsidRPr="0077427C">
        <w:rPr>
          <w:rFonts w:ascii="Times New Roman" w:hAnsi="Times New Roman"/>
          <w:sz w:val="26"/>
          <w:szCs w:val="26"/>
        </w:rPr>
        <w:t>ircostanza</w:t>
      </w:r>
      <w:r w:rsidRPr="0077427C">
        <w:rPr>
          <w:rFonts w:ascii="Times New Roman" w:hAnsi="Times New Roman"/>
          <w:sz w:val="26"/>
          <w:szCs w:val="26"/>
        </w:rPr>
        <w:t xml:space="preserve"> che </w:t>
      </w:r>
      <w:r w:rsidR="00F01088" w:rsidRPr="0077427C">
        <w:rPr>
          <w:rFonts w:ascii="Times New Roman" w:hAnsi="Times New Roman"/>
          <w:sz w:val="26"/>
          <w:szCs w:val="26"/>
        </w:rPr>
        <w:t>si è verificata con riferimento, ad esempio, al</w:t>
      </w:r>
      <w:r w:rsidRPr="0077427C">
        <w:rPr>
          <w:rFonts w:ascii="Times New Roman" w:hAnsi="Times New Roman"/>
          <w:sz w:val="26"/>
          <w:szCs w:val="26"/>
        </w:rPr>
        <w:t>le sostituzioni degli impianti a biomasse</w:t>
      </w:r>
      <w:r w:rsidR="00F01088" w:rsidRPr="0077427C">
        <w:rPr>
          <w:rFonts w:ascii="Times New Roman" w:hAnsi="Times New Roman"/>
          <w:sz w:val="26"/>
          <w:szCs w:val="26"/>
        </w:rPr>
        <w:t>, al</w:t>
      </w:r>
      <w:r w:rsidRPr="0077427C">
        <w:rPr>
          <w:rFonts w:ascii="Times New Roman" w:hAnsi="Times New Roman"/>
          <w:sz w:val="26"/>
          <w:szCs w:val="26"/>
        </w:rPr>
        <w:t xml:space="preserve">le pompe di calore, o </w:t>
      </w:r>
      <w:r w:rsidR="00F01088" w:rsidRPr="0077427C">
        <w:rPr>
          <w:rFonts w:ascii="Times New Roman" w:hAnsi="Times New Roman"/>
          <w:sz w:val="26"/>
          <w:szCs w:val="26"/>
        </w:rPr>
        <w:t>al</w:t>
      </w:r>
      <w:r w:rsidRPr="0077427C">
        <w:rPr>
          <w:rFonts w:ascii="Times New Roman" w:hAnsi="Times New Roman"/>
          <w:sz w:val="26"/>
          <w:szCs w:val="26"/>
        </w:rPr>
        <w:t>le centrali a condensazione);</w:t>
      </w:r>
    </w:p>
    <w:p w14:paraId="3352079E" w14:textId="77777777" w:rsidR="009C2AB2" w:rsidRPr="0077427C" w:rsidRDefault="009C2AB2" w:rsidP="009C2AB2">
      <w:pPr>
        <w:rPr>
          <w:rFonts w:ascii="Times New Roman" w:hAnsi="Times New Roman"/>
          <w:sz w:val="26"/>
          <w:szCs w:val="26"/>
        </w:rPr>
      </w:pPr>
      <w:r w:rsidRPr="0077427C">
        <w:rPr>
          <w:rFonts w:ascii="Times New Roman" w:hAnsi="Times New Roman"/>
          <w:sz w:val="26"/>
          <w:szCs w:val="26"/>
        </w:rPr>
        <w:t>- che durino nel tempo per consentire a tutti i beneficiari e alle imprese di poter fare una programmazione a breve, medio e a lungo termine.</w:t>
      </w:r>
    </w:p>
    <w:p w14:paraId="6CFAF47D" w14:textId="77777777" w:rsidR="009C2AB2" w:rsidRPr="0077427C" w:rsidRDefault="009C2AB2" w:rsidP="009C2AB2">
      <w:pPr>
        <w:rPr>
          <w:rFonts w:ascii="Times New Roman" w:hAnsi="Times New Roman"/>
          <w:sz w:val="26"/>
          <w:szCs w:val="26"/>
        </w:rPr>
      </w:pPr>
    </w:p>
    <w:p w14:paraId="7282532C" w14:textId="77777777" w:rsidR="00FF2293" w:rsidRPr="0077427C" w:rsidRDefault="00EB4E60" w:rsidP="009C2AB2">
      <w:pPr>
        <w:rPr>
          <w:rFonts w:ascii="Times New Roman" w:hAnsi="Times New Roman"/>
          <w:i/>
          <w:sz w:val="26"/>
          <w:szCs w:val="26"/>
        </w:rPr>
      </w:pPr>
      <w:r w:rsidRPr="0077427C">
        <w:rPr>
          <w:rFonts w:ascii="Times New Roman" w:hAnsi="Times New Roman"/>
          <w:b/>
          <w:sz w:val="26"/>
          <w:szCs w:val="26"/>
        </w:rPr>
        <w:t>NOMISMA</w:t>
      </w:r>
      <w:r w:rsidR="00414A46" w:rsidRPr="0077427C">
        <w:rPr>
          <w:rFonts w:ascii="Times New Roman" w:hAnsi="Times New Roman"/>
          <w:i/>
          <w:sz w:val="26"/>
          <w:szCs w:val="26"/>
        </w:rPr>
        <w:t xml:space="preserve"> </w:t>
      </w:r>
    </w:p>
    <w:p w14:paraId="0CBDB141" w14:textId="7373E884" w:rsidR="009C2AB2" w:rsidRPr="0077427C" w:rsidRDefault="00FF2293" w:rsidP="00FF2293">
      <w:pPr>
        <w:rPr>
          <w:rFonts w:ascii="Times New Roman" w:hAnsi="Times New Roman"/>
          <w:i/>
          <w:sz w:val="26"/>
          <w:szCs w:val="26"/>
        </w:rPr>
      </w:pPr>
      <w:r w:rsidRPr="0077427C">
        <w:rPr>
          <w:rFonts w:ascii="Times New Roman" w:hAnsi="Times New Roman"/>
          <w:sz w:val="26"/>
          <w:szCs w:val="26"/>
        </w:rPr>
        <w:t>Nell’</w:t>
      </w:r>
      <w:r w:rsidR="00414A46" w:rsidRPr="0077427C">
        <w:rPr>
          <w:rFonts w:ascii="Times New Roman" w:hAnsi="Times New Roman"/>
          <w:sz w:val="26"/>
          <w:szCs w:val="26"/>
        </w:rPr>
        <w:t>audizione del 6 settembre 2023</w:t>
      </w:r>
      <w:r w:rsidRPr="0077427C">
        <w:rPr>
          <w:rFonts w:ascii="Times New Roman" w:hAnsi="Times New Roman"/>
          <w:sz w:val="26"/>
          <w:szCs w:val="26"/>
        </w:rPr>
        <w:t>, è stato</w:t>
      </w:r>
      <w:r w:rsidRPr="0077427C">
        <w:rPr>
          <w:rFonts w:ascii="Times New Roman" w:hAnsi="Times New Roman"/>
          <w:i/>
          <w:sz w:val="26"/>
          <w:szCs w:val="26"/>
        </w:rPr>
        <w:t xml:space="preserve"> </w:t>
      </w:r>
      <w:r w:rsidR="009C2AB2" w:rsidRPr="0077427C">
        <w:rPr>
          <w:rFonts w:ascii="Times New Roman" w:hAnsi="Times New Roman"/>
          <w:sz w:val="26"/>
          <w:szCs w:val="26"/>
        </w:rPr>
        <w:t xml:space="preserve">ricordato che, ad </w:t>
      </w:r>
      <w:r w:rsidRPr="0077427C">
        <w:rPr>
          <w:rFonts w:ascii="Times New Roman" w:hAnsi="Times New Roman"/>
          <w:sz w:val="26"/>
          <w:szCs w:val="26"/>
        </w:rPr>
        <w:t>agosto 2023</w:t>
      </w:r>
      <w:r w:rsidR="009C2AB2" w:rsidRPr="0077427C">
        <w:rPr>
          <w:rFonts w:ascii="Times New Roman" w:hAnsi="Times New Roman"/>
          <w:sz w:val="26"/>
          <w:szCs w:val="26"/>
        </w:rPr>
        <w:t xml:space="preserve">, vi sono nei cassetti fiscali 142 miliardi di crediti accumulati, di cui 88 miliardi per il superbonus (che arriveranno, secondo le stime di Nomisma, a 140-150 miliardi) e gli altri 52 miliardi per tutti gli altri bonus (25 miliardi </w:t>
      </w:r>
      <w:r w:rsidR="00D632CF" w:rsidRPr="0077427C">
        <w:rPr>
          <w:rFonts w:ascii="Times New Roman" w:hAnsi="Times New Roman"/>
          <w:sz w:val="26"/>
          <w:szCs w:val="26"/>
        </w:rPr>
        <w:t xml:space="preserve">sul </w:t>
      </w:r>
      <w:r w:rsidR="00F01088" w:rsidRPr="0077427C">
        <w:rPr>
          <w:rFonts w:ascii="Times New Roman" w:hAnsi="Times New Roman"/>
          <w:sz w:val="26"/>
          <w:szCs w:val="26"/>
        </w:rPr>
        <w:t>bonus</w:t>
      </w:r>
      <w:r w:rsidR="009C2AB2" w:rsidRPr="0077427C">
        <w:rPr>
          <w:rFonts w:ascii="Times New Roman" w:hAnsi="Times New Roman"/>
          <w:sz w:val="26"/>
          <w:szCs w:val="26"/>
        </w:rPr>
        <w:t xml:space="preserve"> facciate, 12 miliardi </w:t>
      </w:r>
      <w:r w:rsidR="00D632CF" w:rsidRPr="0077427C">
        <w:rPr>
          <w:rFonts w:ascii="Times New Roman" w:hAnsi="Times New Roman"/>
          <w:sz w:val="26"/>
          <w:szCs w:val="26"/>
        </w:rPr>
        <w:t>sulla</w:t>
      </w:r>
      <w:r w:rsidR="009C2AB2" w:rsidRPr="0077427C">
        <w:rPr>
          <w:rFonts w:ascii="Times New Roman" w:hAnsi="Times New Roman"/>
          <w:sz w:val="26"/>
          <w:szCs w:val="26"/>
        </w:rPr>
        <w:t xml:space="preserve"> misura eco, 12 miliardi </w:t>
      </w:r>
      <w:r w:rsidR="00D632CF" w:rsidRPr="0077427C">
        <w:rPr>
          <w:rFonts w:ascii="Times New Roman" w:hAnsi="Times New Roman"/>
          <w:sz w:val="26"/>
          <w:szCs w:val="26"/>
        </w:rPr>
        <w:t>sulla</w:t>
      </w:r>
      <w:r w:rsidR="009C2AB2" w:rsidRPr="0077427C">
        <w:rPr>
          <w:rFonts w:ascii="Times New Roman" w:hAnsi="Times New Roman"/>
          <w:sz w:val="26"/>
          <w:szCs w:val="26"/>
        </w:rPr>
        <w:t xml:space="preserve"> misura del 50 per cento bonus casa e un miliardo e mezzo </w:t>
      </w:r>
      <w:r w:rsidR="00D632CF" w:rsidRPr="0077427C">
        <w:rPr>
          <w:rFonts w:ascii="Times New Roman" w:hAnsi="Times New Roman"/>
          <w:sz w:val="26"/>
          <w:szCs w:val="26"/>
        </w:rPr>
        <w:t>sul</w:t>
      </w:r>
      <w:r w:rsidR="00F01088" w:rsidRPr="0077427C">
        <w:rPr>
          <w:rFonts w:ascii="Times New Roman" w:hAnsi="Times New Roman"/>
          <w:sz w:val="26"/>
          <w:szCs w:val="26"/>
        </w:rPr>
        <w:t xml:space="preserve"> </w:t>
      </w:r>
      <w:r w:rsidR="009C2AB2" w:rsidRPr="0077427C">
        <w:rPr>
          <w:rFonts w:ascii="Times New Roman" w:hAnsi="Times New Roman"/>
          <w:sz w:val="26"/>
          <w:szCs w:val="26"/>
        </w:rPr>
        <w:t xml:space="preserve">bonus sismico); vi è quindi una diversità di misure, che costituisce un primo elemento di confusione. </w:t>
      </w:r>
    </w:p>
    <w:p w14:paraId="6445BE3D" w14:textId="77777777" w:rsidR="009C2AB2" w:rsidRPr="0077427C" w:rsidRDefault="009C2AB2" w:rsidP="009C2AB2">
      <w:pPr>
        <w:rPr>
          <w:rFonts w:ascii="Times New Roman" w:hAnsi="Times New Roman"/>
          <w:sz w:val="26"/>
          <w:szCs w:val="26"/>
        </w:rPr>
      </w:pPr>
      <w:r w:rsidRPr="0077427C">
        <w:rPr>
          <w:rFonts w:ascii="Times New Roman" w:hAnsi="Times New Roman"/>
          <w:sz w:val="26"/>
          <w:szCs w:val="26"/>
        </w:rPr>
        <w:t xml:space="preserve">Nomisma sottolinea poi l’esigenza </w:t>
      </w:r>
      <w:r w:rsidR="00FF2293" w:rsidRPr="0077427C">
        <w:rPr>
          <w:rFonts w:ascii="Times New Roman" w:hAnsi="Times New Roman"/>
          <w:sz w:val="26"/>
          <w:szCs w:val="26"/>
        </w:rPr>
        <w:t>che</w:t>
      </w:r>
      <w:r w:rsidRPr="0077427C">
        <w:rPr>
          <w:rFonts w:ascii="Times New Roman" w:hAnsi="Times New Roman"/>
          <w:sz w:val="26"/>
          <w:szCs w:val="26"/>
        </w:rPr>
        <w:t xml:space="preserve"> la casa possa diventare una leva ambientale ed ecologica. Ad oggi la riqualificazione ha riguardato il 4% del parco immobiliare italiano e la domanda d</w:t>
      </w:r>
      <w:r w:rsidR="00FF2293" w:rsidRPr="0077427C">
        <w:rPr>
          <w:rFonts w:ascii="Times New Roman" w:hAnsi="Times New Roman"/>
          <w:sz w:val="26"/>
          <w:szCs w:val="26"/>
        </w:rPr>
        <w:t>a</w:t>
      </w:r>
      <w:r w:rsidRPr="0077427C">
        <w:rPr>
          <w:rFonts w:ascii="Times New Roman" w:hAnsi="Times New Roman"/>
          <w:sz w:val="26"/>
          <w:szCs w:val="26"/>
        </w:rPr>
        <w:t xml:space="preserve"> porsi </w:t>
      </w:r>
      <w:r w:rsidR="00FF2293" w:rsidRPr="0077427C">
        <w:rPr>
          <w:rFonts w:ascii="Times New Roman" w:hAnsi="Times New Roman"/>
          <w:sz w:val="26"/>
          <w:szCs w:val="26"/>
        </w:rPr>
        <w:t xml:space="preserve">riguarda </w:t>
      </w:r>
      <w:r w:rsidRPr="0077427C">
        <w:rPr>
          <w:rFonts w:ascii="Times New Roman" w:hAnsi="Times New Roman"/>
          <w:sz w:val="26"/>
          <w:szCs w:val="26"/>
        </w:rPr>
        <w:t>l'altro 96 per cento.</w:t>
      </w:r>
    </w:p>
    <w:p w14:paraId="62A009C4" w14:textId="77777777" w:rsidR="009C2AB2" w:rsidRPr="0077427C" w:rsidRDefault="009C2AB2" w:rsidP="009C2AB2">
      <w:pPr>
        <w:rPr>
          <w:rFonts w:ascii="Times New Roman" w:hAnsi="Times New Roman"/>
          <w:sz w:val="26"/>
          <w:szCs w:val="26"/>
        </w:rPr>
      </w:pPr>
      <w:r w:rsidRPr="0077427C">
        <w:rPr>
          <w:rFonts w:ascii="Times New Roman" w:hAnsi="Times New Roman"/>
          <w:sz w:val="26"/>
          <w:szCs w:val="26"/>
        </w:rPr>
        <w:t>Nomisma evidenzia che</w:t>
      </w:r>
      <w:r w:rsidR="00A10A60" w:rsidRPr="0077427C">
        <w:rPr>
          <w:rFonts w:ascii="Times New Roman" w:hAnsi="Times New Roman"/>
          <w:sz w:val="26"/>
          <w:szCs w:val="26"/>
        </w:rPr>
        <w:t>,</w:t>
      </w:r>
      <w:r w:rsidRPr="0077427C">
        <w:rPr>
          <w:rFonts w:ascii="Times New Roman" w:hAnsi="Times New Roman"/>
          <w:sz w:val="26"/>
          <w:szCs w:val="26"/>
        </w:rPr>
        <w:t xml:space="preserve"> a fronte degli 88 miliardi finora spesi, si stima un valore diretto, indiretto e di indotto superiore ai 200 miliardi che nel corso del tempo potrà andare a migliorare il gettito e potrà portare altri </w:t>
      </w:r>
      <w:proofErr w:type="gramStart"/>
      <w:r w:rsidRPr="0077427C">
        <w:rPr>
          <w:rFonts w:ascii="Times New Roman" w:hAnsi="Times New Roman"/>
          <w:sz w:val="26"/>
          <w:szCs w:val="26"/>
        </w:rPr>
        <w:t>benefici</w:t>
      </w:r>
      <w:proofErr w:type="gramEnd"/>
      <w:r w:rsidRPr="0077427C">
        <w:rPr>
          <w:rFonts w:ascii="Times New Roman" w:hAnsi="Times New Roman"/>
          <w:sz w:val="26"/>
          <w:szCs w:val="26"/>
        </w:rPr>
        <w:t xml:space="preserve"> tra cui quelli occupazionali e di impatto sulla filiera.</w:t>
      </w:r>
    </w:p>
    <w:p w14:paraId="30A39BB7" w14:textId="77777777" w:rsidR="009C2AB2" w:rsidRPr="0077427C" w:rsidRDefault="009C2AB2" w:rsidP="009C2AB2">
      <w:pPr>
        <w:rPr>
          <w:rFonts w:ascii="Times New Roman" w:hAnsi="Times New Roman"/>
          <w:sz w:val="26"/>
          <w:szCs w:val="26"/>
        </w:rPr>
      </w:pPr>
      <w:r w:rsidRPr="0077427C">
        <w:rPr>
          <w:rFonts w:ascii="Times New Roman" w:hAnsi="Times New Roman"/>
          <w:sz w:val="26"/>
          <w:szCs w:val="26"/>
        </w:rPr>
        <w:t>Per quanto riguarda l’impatto ambientale ed energetico degli interventi finora eseguiti, Nomisma sottolinea che c’è stato un risparmio medio in bolletta che, anche per l'intensificarsi del costo energetico, è pari a più o meno 1.000 euro per unità immobiliare, per un totale di 30 miliardi risparmiati da parte delle famiglie. Sulla parte ecologica c'è stata una notevole riduzione di CO2, pari più o meno al 50% rispetto alla situazione ex ante.</w:t>
      </w:r>
    </w:p>
    <w:p w14:paraId="0F998A75" w14:textId="253250BA" w:rsidR="009C2AB2" w:rsidRPr="0077427C" w:rsidRDefault="009C2AB2" w:rsidP="009C2AB2">
      <w:pPr>
        <w:rPr>
          <w:rFonts w:ascii="Times New Roman" w:hAnsi="Times New Roman"/>
          <w:sz w:val="26"/>
          <w:szCs w:val="26"/>
        </w:rPr>
      </w:pPr>
      <w:r w:rsidRPr="0077427C">
        <w:rPr>
          <w:rFonts w:ascii="Times New Roman" w:hAnsi="Times New Roman"/>
          <w:sz w:val="26"/>
          <w:szCs w:val="26"/>
        </w:rPr>
        <w:t xml:space="preserve">Secondo Nomisma la transizione ecologica sperimentata nel mondo dell'industria è costata quasi il doppio rispetto a quella del </w:t>
      </w:r>
      <w:r w:rsidRPr="0077427C">
        <w:rPr>
          <w:rFonts w:ascii="Times New Roman" w:hAnsi="Times New Roman"/>
          <w:i/>
          <w:sz w:val="26"/>
          <w:szCs w:val="26"/>
        </w:rPr>
        <w:t>superbonus</w:t>
      </w:r>
      <w:r w:rsidRPr="0077427C">
        <w:rPr>
          <w:rFonts w:ascii="Times New Roman" w:hAnsi="Times New Roman"/>
          <w:sz w:val="26"/>
          <w:szCs w:val="26"/>
        </w:rPr>
        <w:t xml:space="preserve">, e quindi tecnicamente per la leva ambientale il </w:t>
      </w:r>
      <w:r w:rsidRPr="0077427C">
        <w:rPr>
          <w:rFonts w:ascii="Times New Roman" w:hAnsi="Times New Roman"/>
          <w:i/>
          <w:sz w:val="26"/>
          <w:szCs w:val="26"/>
        </w:rPr>
        <w:t>superbonus</w:t>
      </w:r>
      <w:r w:rsidRPr="0077427C">
        <w:rPr>
          <w:rFonts w:ascii="Times New Roman" w:hAnsi="Times New Roman"/>
          <w:sz w:val="26"/>
          <w:szCs w:val="26"/>
        </w:rPr>
        <w:t xml:space="preserve"> non può essere considerato una misura così costosa, anche se</w:t>
      </w:r>
      <w:r w:rsidR="00F01088" w:rsidRPr="0077427C">
        <w:rPr>
          <w:rFonts w:ascii="Times New Roman" w:hAnsi="Times New Roman"/>
          <w:sz w:val="26"/>
          <w:szCs w:val="26"/>
        </w:rPr>
        <w:t xml:space="preserve"> essa non appare economicamente sostenibile</w:t>
      </w:r>
      <w:r w:rsidRPr="0077427C">
        <w:rPr>
          <w:rFonts w:ascii="Times New Roman" w:hAnsi="Times New Roman"/>
          <w:sz w:val="26"/>
          <w:szCs w:val="26"/>
        </w:rPr>
        <w:t>.</w:t>
      </w:r>
    </w:p>
    <w:p w14:paraId="10616F37" w14:textId="77777777" w:rsidR="009C2AB2" w:rsidRPr="0077427C" w:rsidRDefault="009C2AB2" w:rsidP="009C2AB2">
      <w:pPr>
        <w:rPr>
          <w:rFonts w:ascii="Times New Roman" w:hAnsi="Times New Roman"/>
          <w:sz w:val="26"/>
          <w:szCs w:val="26"/>
        </w:rPr>
      </w:pPr>
      <w:r w:rsidRPr="0077427C">
        <w:rPr>
          <w:rFonts w:ascii="Times New Roman" w:hAnsi="Times New Roman"/>
          <w:sz w:val="26"/>
          <w:szCs w:val="26"/>
        </w:rPr>
        <w:t xml:space="preserve">Nel complesso, secondo Nomisma, anche considerando l’impatto sull’occupazione e il valore immobiliare creato (stimato in </w:t>
      </w:r>
      <w:proofErr w:type="gramStart"/>
      <w:r w:rsidRPr="0077427C">
        <w:rPr>
          <w:rFonts w:ascii="Times New Roman" w:hAnsi="Times New Roman"/>
          <w:sz w:val="26"/>
          <w:szCs w:val="26"/>
        </w:rPr>
        <w:t>10</w:t>
      </w:r>
      <w:proofErr w:type="gramEnd"/>
      <w:r w:rsidRPr="0077427C">
        <w:rPr>
          <w:rFonts w:ascii="Times New Roman" w:hAnsi="Times New Roman"/>
          <w:sz w:val="26"/>
          <w:szCs w:val="26"/>
        </w:rPr>
        <w:t xml:space="preserve"> miliardi), non vi è dubbio che il </w:t>
      </w:r>
      <w:r w:rsidRPr="0077427C">
        <w:rPr>
          <w:rFonts w:ascii="Times New Roman" w:hAnsi="Times New Roman"/>
          <w:i/>
          <w:sz w:val="26"/>
          <w:szCs w:val="26"/>
        </w:rPr>
        <w:t>superbonus</w:t>
      </w:r>
      <w:r w:rsidRPr="0077427C">
        <w:rPr>
          <w:rFonts w:ascii="Times New Roman" w:hAnsi="Times New Roman"/>
          <w:sz w:val="26"/>
          <w:szCs w:val="26"/>
        </w:rPr>
        <w:t xml:space="preserve"> abbia portato dei benefici importanti dal punto di vista sociale e ambientale e, pertanto, non è possibile immaginare di restare senza un dispositivo del genere nei prossimi anni. </w:t>
      </w:r>
    </w:p>
    <w:p w14:paraId="04F45A1D" w14:textId="77777777" w:rsidR="009C2AB2" w:rsidRPr="0077427C" w:rsidRDefault="009C2AB2" w:rsidP="009C2AB2">
      <w:pPr>
        <w:rPr>
          <w:rFonts w:ascii="Times New Roman" w:hAnsi="Times New Roman"/>
          <w:sz w:val="26"/>
          <w:szCs w:val="26"/>
        </w:rPr>
      </w:pPr>
      <w:r w:rsidRPr="0077427C">
        <w:rPr>
          <w:rFonts w:ascii="Times New Roman" w:hAnsi="Times New Roman"/>
          <w:sz w:val="26"/>
          <w:szCs w:val="26"/>
        </w:rPr>
        <w:t>Nomisma sottolinea inoltre che la direttiva europea «case green» riguarda un milione e 800 mila edifici, 180 mila edifici l'anno, che sono compatibili con l'industria edilizia (che è stata abituata ad avere 200 mila cantieri). Il problema, secondo Nomisma, è capire con quali risorse pubbliche finanziare il tutto: secondo le stime di Nomisma infatti servono 350 miliardi.</w:t>
      </w:r>
    </w:p>
    <w:p w14:paraId="2D31C8CD" w14:textId="77777777" w:rsidR="009C2AB2" w:rsidRPr="0077427C" w:rsidRDefault="009C2AB2" w:rsidP="009C2AB2">
      <w:pPr>
        <w:rPr>
          <w:rFonts w:ascii="Times New Roman" w:hAnsi="Times New Roman"/>
          <w:sz w:val="26"/>
          <w:szCs w:val="26"/>
        </w:rPr>
      </w:pPr>
      <w:r w:rsidRPr="0077427C">
        <w:rPr>
          <w:rFonts w:ascii="Times New Roman" w:hAnsi="Times New Roman"/>
          <w:sz w:val="26"/>
          <w:szCs w:val="26"/>
        </w:rPr>
        <w:t xml:space="preserve">Nomisma evidenzia in particolare che non ci può essere domanda di riqualificazione, che quindi utilizza la casa come leva ambientale, senza la cessione del credito con lo sconto in fattura: senza cessione del credito si ritorna dagli attuali 50 miliardi l'anno investiti ai livelli di 4-5 miliardi l'anno di attività, che non è compatibile con gli obiettivi da raggiungere. Il punto, secondo Nomisma, non è il valore dell’aliquota (secondo le stime Nomisma anche un'aliquota del 50-60 per cento del costo dell'intervento responsabilizza l'utente finale, responsabilizza chi fa l'intervento ed è compatibile con un tempo di ritorno congruo) ma la cessione del credito: occorre collegare la cessione del credito con lo sconto in fattura, con il ripristino di uno strumento di tipo </w:t>
      </w:r>
      <w:proofErr w:type="spellStart"/>
      <w:r w:rsidRPr="0077427C">
        <w:rPr>
          <w:rFonts w:ascii="Times New Roman" w:hAnsi="Times New Roman"/>
          <w:sz w:val="26"/>
          <w:szCs w:val="26"/>
        </w:rPr>
        <w:t>ESCo</w:t>
      </w:r>
      <w:proofErr w:type="spellEnd"/>
      <w:r w:rsidRPr="0077427C">
        <w:rPr>
          <w:rFonts w:ascii="Times New Roman" w:hAnsi="Times New Roman"/>
          <w:sz w:val="26"/>
          <w:szCs w:val="26"/>
        </w:rPr>
        <w:t xml:space="preserve"> sul privato e strumenti tipo EPC (contratti di prestazione energetica) sul pubblico, per incentivare il più possibile il risparmio energetico.</w:t>
      </w:r>
    </w:p>
    <w:p w14:paraId="69F13823" w14:textId="77777777" w:rsidR="009C2AB2" w:rsidRPr="0077427C" w:rsidRDefault="009C2AB2" w:rsidP="009C2AB2">
      <w:pPr>
        <w:rPr>
          <w:rFonts w:ascii="Times New Roman" w:hAnsi="Times New Roman"/>
          <w:sz w:val="26"/>
          <w:szCs w:val="26"/>
        </w:rPr>
      </w:pPr>
      <w:r w:rsidRPr="0077427C">
        <w:rPr>
          <w:rFonts w:ascii="Times New Roman" w:hAnsi="Times New Roman"/>
          <w:sz w:val="26"/>
          <w:szCs w:val="26"/>
        </w:rPr>
        <w:t>Secondo Nomisma inoltre non è opportuno differenziare l'aliquota per reddito, perché antropologicamente all'interno di una stessa comunità o edificio è molto difficile sostenere e far pagare diversamente i cittadini. È invece molto più facile legare il pacchetto e la misura all'età dell'edificio, alle caratteristiche dell'edificio e definire una priorità</w:t>
      </w:r>
      <w:r w:rsidR="00FF2293" w:rsidRPr="0077427C">
        <w:rPr>
          <w:rFonts w:ascii="Times New Roman" w:hAnsi="Times New Roman"/>
          <w:sz w:val="26"/>
          <w:szCs w:val="26"/>
        </w:rPr>
        <w:t xml:space="preserve"> per concentrarsi nei primi anni sugli edifici più energivori</w:t>
      </w:r>
      <w:r w:rsidRPr="0077427C">
        <w:rPr>
          <w:rFonts w:ascii="Times New Roman" w:hAnsi="Times New Roman"/>
          <w:sz w:val="26"/>
          <w:szCs w:val="26"/>
        </w:rPr>
        <w:t>.</w:t>
      </w:r>
    </w:p>
    <w:p w14:paraId="6603847C" w14:textId="77777777" w:rsidR="009C2AB2" w:rsidRPr="0077427C" w:rsidRDefault="009C2AB2" w:rsidP="009C2AB2">
      <w:pPr>
        <w:rPr>
          <w:rFonts w:ascii="Times New Roman" w:hAnsi="Times New Roman"/>
          <w:sz w:val="26"/>
          <w:szCs w:val="26"/>
        </w:rPr>
      </w:pPr>
    </w:p>
    <w:p w14:paraId="2FFE66DC" w14:textId="77777777" w:rsidR="00EB4E60" w:rsidRPr="0077427C" w:rsidRDefault="00EB4E60" w:rsidP="009C2AB2">
      <w:pPr>
        <w:rPr>
          <w:rFonts w:ascii="Times New Roman" w:hAnsi="Times New Roman"/>
          <w:i/>
          <w:sz w:val="26"/>
          <w:szCs w:val="26"/>
        </w:rPr>
      </w:pPr>
      <w:r w:rsidRPr="0077427C">
        <w:rPr>
          <w:rFonts w:ascii="Times New Roman" w:hAnsi="Times New Roman"/>
          <w:b/>
          <w:sz w:val="26"/>
          <w:szCs w:val="26"/>
        </w:rPr>
        <w:t>ISPRA</w:t>
      </w:r>
      <w:r w:rsidR="00414A46" w:rsidRPr="0077427C">
        <w:rPr>
          <w:rFonts w:ascii="Times New Roman" w:hAnsi="Times New Roman"/>
          <w:b/>
          <w:sz w:val="26"/>
          <w:szCs w:val="26"/>
        </w:rPr>
        <w:t xml:space="preserve"> </w:t>
      </w:r>
    </w:p>
    <w:p w14:paraId="4DBCC948" w14:textId="77777777" w:rsidR="009C2AB2" w:rsidRPr="0077427C" w:rsidRDefault="009C2AB2" w:rsidP="009C2AB2">
      <w:pPr>
        <w:rPr>
          <w:rFonts w:ascii="Times New Roman" w:hAnsi="Times New Roman"/>
          <w:sz w:val="26"/>
          <w:szCs w:val="26"/>
        </w:rPr>
      </w:pPr>
      <w:r w:rsidRPr="0077427C">
        <w:rPr>
          <w:rFonts w:ascii="Times New Roman" w:hAnsi="Times New Roman"/>
          <w:sz w:val="26"/>
          <w:szCs w:val="26"/>
        </w:rPr>
        <w:t>ISPRA ha evidenziato che, secondo i dati disponibili fino al giugno del 2023, il totale degli investimenti contemplati dal superbonus a quella data dovrebbe consentire di intervenire circa sul 3,4 per cento degli edifici, corrispondenti a circa 99 milioni di metri quadri, su un parco nazionale di circa 3 miliardi di metri quadri e 12 milioni e mezzo di edifici. A questo 3,4 per cento di edifici ristrutturati corrisponde una riduzione delle emissioni di gas serra pari a meno di 2 milioni di tonnellate di CO2 equivalente. Per capire se questi 2 milioni di tonnellate di CO2 equivalenti sono tanti oppure no, occorre vedere il peso del settore.</w:t>
      </w:r>
    </w:p>
    <w:p w14:paraId="5E82B44F" w14:textId="77777777" w:rsidR="009C2AB2" w:rsidRPr="0077427C" w:rsidRDefault="009C2AB2" w:rsidP="009C2AB2">
      <w:pPr>
        <w:rPr>
          <w:rFonts w:ascii="Times New Roman" w:hAnsi="Times New Roman"/>
          <w:sz w:val="26"/>
          <w:szCs w:val="26"/>
        </w:rPr>
      </w:pPr>
      <w:r w:rsidRPr="0077427C">
        <w:rPr>
          <w:rFonts w:ascii="Times New Roman" w:hAnsi="Times New Roman"/>
          <w:sz w:val="26"/>
          <w:szCs w:val="26"/>
        </w:rPr>
        <w:t>Nel complesso, il settore civile – che include il residenziale, il settore terziario dei servizi e gli usi energetici che avvengono nell'agricoltura, nella silvicoltura e nella pesca – nel 2021 ha emesso un totale di 83 milioni di tonnellate di CO2 equivalenti, di cui circa 75 dovuti ai consumi energetici per il riscaldamento degli edifici, a fronte di un totale nazionale di 418 milioni di tonnellate di CO2. Di questi 83 milioni di tonnellate circa il 60 per cento deriva proprio dal settore residenziale, a cui segue, in ordine di importanza, il settore terziario, settore le cui emissioni sono in crescita negli ultimi anni, legate agli andamenti economici delle attività del terziario.</w:t>
      </w:r>
    </w:p>
    <w:p w14:paraId="574C1CC7" w14:textId="77777777" w:rsidR="009C2AB2" w:rsidRPr="0077427C" w:rsidRDefault="009C2AB2" w:rsidP="009C2AB2">
      <w:pPr>
        <w:rPr>
          <w:rFonts w:ascii="Times New Roman" w:hAnsi="Times New Roman"/>
          <w:sz w:val="26"/>
          <w:szCs w:val="26"/>
        </w:rPr>
      </w:pPr>
      <w:r w:rsidRPr="0077427C">
        <w:rPr>
          <w:rFonts w:ascii="Times New Roman" w:hAnsi="Times New Roman"/>
          <w:sz w:val="26"/>
          <w:szCs w:val="26"/>
        </w:rPr>
        <w:t>Quindi, sul totale, il settore civile pesa circa per il 20 per cento delle emissioni nazionali, e di questo 20 per cento circa il 60 per cento arriva dal residenziale, quindi poco più del 10 per cento delle emissioni.</w:t>
      </w:r>
    </w:p>
    <w:p w14:paraId="1DF8F595" w14:textId="77777777" w:rsidR="009C2AB2" w:rsidRPr="0077427C" w:rsidRDefault="009C2AB2" w:rsidP="00B25485">
      <w:pPr>
        <w:rPr>
          <w:rFonts w:ascii="Times New Roman" w:hAnsi="Times New Roman"/>
          <w:sz w:val="26"/>
          <w:szCs w:val="26"/>
        </w:rPr>
      </w:pPr>
      <w:r w:rsidRPr="0077427C">
        <w:rPr>
          <w:rFonts w:ascii="Times New Roman" w:hAnsi="Times New Roman"/>
          <w:sz w:val="26"/>
          <w:szCs w:val="26"/>
        </w:rPr>
        <w:t xml:space="preserve">Sebbene il peso sul totale non sia particolarmente rilevante, è necessario però tenere a mente che l'Italia ha degli obblighi di riduzione delle emissioni che sono stabiliti dal regolamento </w:t>
      </w:r>
      <w:proofErr w:type="spellStart"/>
      <w:r w:rsidRPr="0077427C">
        <w:rPr>
          <w:rFonts w:ascii="Times New Roman" w:hAnsi="Times New Roman"/>
          <w:i/>
          <w:sz w:val="26"/>
          <w:szCs w:val="26"/>
        </w:rPr>
        <w:t>Effort</w:t>
      </w:r>
      <w:proofErr w:type="spellEnd"/>
      <w:r w:rsidRPr="0077427C">
        <w:rPr>
          <w:rFonts w:ascii="Times New Roman" w:hAnsi="Times New Roman"/>
          <w:i/>
          <w:sz w:val="26"/>
          <w:szCs w:val="26"/>
        </w:rPr>
        <w:t xml:space="preserve"> Sharing</w:t>
      </w:r>
      <w:r w:rsidRPr="0077427C">
        <w:rPr>
          <w:rFonts w:ascii="Times New Roman" w:hAnsi="Times New Roman"/>
          <w:sz w:val="26"/>
          <w:szCs w:val="26"/>
        </w:rPr>
        <w:t xml:space="preserve">, che fissa dei tetti massimi alle emissioni di una serie di settori, compreso il settore civile; tetti che sono divenuti più stringenti con l’aggiornamento operato nell'ambito del </w:t>
      </w:r>
      <w:proofErr w:type="spellStart"/>
      <w:r w:rsidRPr="0077427C">
        <w:rPr>
          <w:rFonts w:ascii="Times New Roman" w:hAnsi="Times New Roman"/>
          <w:sz w:val="26"/>
          <w:szCs w:val="26"/>
        </w:rPr>
        <w:t>Fit</w:t>
      </w:r>
      <w:proofErr w:type="spellEnd"/>
      <w:r w:rsidRPr="0077427C">
        <w:rPr>
          <w:rFonts w:ascii="Times New Roman" w:hAnsi="Times New Roman"/>
          <w:sz w:val="26"/>
          <w:szCs w:val="26"/>
        </w:rPr>
        <w:t xml:space="preserve"> for 55. Se fino al 2020 l'Italia è riuscita a rimanere sempre al di sotto dei tetti massimi consentiti, la situazione dal 2021 in avanti sembra essere notevolmente diversa: dal 2021 </w:t>
      </w:r>
      <w:r w:rsidR="00B25485" w:rsidRPr="0077427C">
        <w:rPr>
          <w:rFonts w:ascii="Times New Roman" w:hAnsi="Times New Roman"/>
          <w:sz w:val="26"/>
          <w:szCs w:val="26"/>
        </w:rPr>
        <w:t xml:space="preserve">si registra un superamento di circa 11 milioni di tonnellate di CO2 equivalente. I rappresentanti di ISPRA hanno pertanto evidenziato che da tutte le elaborazioni risulta che comunque </w:t>
      </w:r>
      <w:r w:rsidRPr="0077427C">
        <w:rPr>
          <w:rFonts w:ascii="Times New Roman" w:hAnsi="Times New Roman"/>
          <w:sz w:val="26"/>
          <w:szCs w:val="26"/>
        </w:rPr>
        <w:t>le misure attualmente vigenti e quelle ipotizzate nella versione attuale dell'aggiornamento del Piano nazionale energia e clima non sono in grado di far rispettare gli obiettivi di riduzione delle emissioni</w:t>
      </w:r>
      <w:r w:rsidR="00B25485" w:rsidRPr="0077427C">
        <w:rPr>
          <w:rFonts w:ascii="Times New Roman" w:hAnsi="Times New Roman"/>
          <w:sz w:val="26"/>
          <w:szCs w:val="26"/>
        </w:rPr>
        <w:t xml:space="preserve"> e che, pertanto, guardando i dati storici e i nuovi obiettivi stabiliti dal regolamento </w:t>
      </w:r>
      <w:proofErr w:type="spellStart"/>
      <w:r w:rsidR="00B25485" w:rsidRPr="0077427C">
        <w:rPr>
          <w:rFonts w:ascii="Times New Roman" w:hAnsi="Times New Roman"/>
          <w:i/>
          <w:sz w:val="26"/>
          <w:szCs w:val="26"/>
        </w:rPr>
        <w:t>Effort</w:t>
      </w:r>
      <w:proofErr w:type="spellEnd"/>
      <w:r w:rsidR="00B25485" w:rsidRPr="0077427C">
        <w:rPr>
          <w:rFonts w:ascii="Times New Roman" w:hAnsi="Times New Roman"/>
          <w:i/>
          <w:sz w:val="26"/>
          <w:szCs w:val="26"/>
        </w:rPr>
        <w:t xml:space="preserve"> Sharing</w:t>
      </w:r>
      <w:r w:rsidR="00B25485" w:rsidRPr="0077427C">
        <w:rPr>
          <w:rFonts w:ascii="Times New Roman" w:hAnsi="Times New Roman"/>
          <w:sz w:val="26"/>
          <w:szCs w:val="26"/>
        </w:rPr>
        <w:t>, affinché l’Italia sia in grado di riportarsi al di sotto dei target massimi consentiti,</w:t>
      </w:r>
      <w:r w:rsidRPr="0077427C">
        <w:rPr>
          <w:rFonts w:ascii="Times New Roman" w:hAnsi="Times New Roman"/>
          <w:sz w:val="26"/>
          <w:szCs w:val="26"/>
        </w:rPr>
        <w:t xml:space="preserve"> è necessario ridurre </w:t>
      </w:r>
      <w:r w:rsidR="00B25485" w:rsidRPr="0077427C">
        <w:rPr>
          <w:rFonts w:ascii="Times New Roman" w:hAnsi="Times New Roman"/>
          <w:sz w:val="26"/>
          <w:szCs w:val="26"/>
        </w:rPr>
        <w:t>tali</w:t>
      </w:r>
      <w:r w:rsidRPr="0077427C">
        <w:rPr>
          <w:rFonts w:ascii="Times New Roman" w:hAnsi="Times New Roman"/>
          <w:sz w:val="26"/>
          <w:szCs w:val="26"/>
        </w:rPr>
        <w:t xml:space="preserve"> emissioni di almeno il 30% nel periodo 2021-2030. Considerando il «peso» dei diversi settori e la rigidità dei settori non energetici, il contributo più importante dovrebbe venire proprio da</w:t>
      </w:r>
      <w:r w:rsidR="00B25485" w:rsidRPr="0077427C">
        <w:rPr>
          <w:rFonts w:ascii="Times New Roman" w:hAnsi="Times New Roman"/>
          <w:sz w:val="26"/>
          <w:szCs w:val="26"/>
        </w:rPr>
        <w:t>l</w:t>
      </w:r>
      <w:r w:rsidRPr="0077427C">
        <w:rPr>
          <w:rFonts w:ascii="Times New Roman" w:hAnsi="Times New Roman"/>
          <w:sz w:val="26"/>
          <w:szCs w:val="26"/>
        </w:rPr>
        <w:t xml:space="preserve"> settor</w:t>
      </w:r>
      <w:r w:rsidR="00B25485" w:rsidRPr="0077427C">
        <w:rPr>
          <w:rFonts w:ascii="Times New Roman" w:hAnsi="Times New Roman"/>
          <w:sz w:val="26"/>
          <w:szCs w:val="26"/>
        </w:rPr>
        <w:t>e</w:t>
      </w:r>
      <w:r w:rsidRPr="0077427C">
        <w:rPr>
          <w:rFonts w:ascii="Times New Roman" w:hAnsi="Times New Roman"/>
          <w:sz w:val="26"/>
          <w:szCs w:val="26"/>
        </w:rPr>
        <w:t xml:space="preserve"> </w:t>
      </w:r>
      <w:r w:rsidR="00B25485" w:rsidRPr="0077427C">
        <w:rPr>
          <w:rFonts w:ascii="Times New Roman" w:hAnsi="Times New Roman"/>
          <w:sz w:val="26"/>
          <w:szCs w:val="26"/>
        </w:rPr>
        <w:t>c</w:t>
      </w:r>
      <w:r w:rsidRPr="0077427C">
        <w:rPr>
          <w:rFonts w:ascii="Times New Roman" w:hAnsi="Times New Roman"/>
          <w:sz w:val="26"/>
          <w:szCs w:val="26"/>
        </w:rPr>
        <w:t xml:space="preserve">ivile e </w:t>
      </w:r>
      <w:r w:rsidR="00B25485" w:rsidRPr="0077427C">
        <w:rPr>
          <w:rFonts w:ascii="Times New Roman" w:hAnsi="Times New Roman"/>
          <w:sz w:val="26"/>
          <w:szCs w:val="26"/>
        </w:rPr>
        <w:t>da quello dei t</w:t>
      </w:r>
      <w:r w:rsidRPr="0077427C">
        <w:rPr>
          <w:rFonts w:ascii="Times New Roman" w:hAnsi="Times New Roman"/>
          <w:sz w:val="26"/>
          <w:szCs w:val="26"/>
        </w:rPr>
        <w:t xml:space="preserve">rasporti. </w:t>
      </w:r>
    </w:p>
    <w:p w14:paraId="72F20F32" w14:textId="77777777" w:rsidR="00EB4E60" w:rsidRPr="0077427C" w:rsidRDefault="00EB4E60" w:rsidP="009C2AB2">
      <w:pPr>
        <w:ind w:firstLine="0"/>
        <w:rPr>
          <w:rFonts w:ascii="Times New Roman" w:hAnsi="Times New Roman"/>
          <w:sz w:val="26"/>
          <w:szCs w:val="26"/>
        </w:rPr>
      </w:pPr>
    </w:p>
    <w:p w14:paraId="4B3DE899" w14:textId="77777777" w:rsidR="00EB4E60" w:rsidRPr="0077427C" w:rsidRDefault="00EB4E60" w:rsidP="00EB4E60">
      <w:pPr>
        <w:rPr>
          <w:rFonts w:ascii="Times New Roman" w:hAnsi="Times New Roman"/>
          <w:i/>
          <w:sz w:val="26"/>
          <w:szCs w:val="26"/>
        </w:rPr>
      </w:pPr>
      <w:r w:rsidRPr="0077427C">
        <w:rPr>
          <w:rFonts w:ascii="Times New Roman" w:hAnsi="Times New Roman"/>
          <w:b/>
          <w:sz w:val="26"/>
          <w:szCs w:val="26"/>
        </w:rPr>
        <w:t xml:space="preserve">ISG </w:t>
      </w:r>
      <w:proofErr w:type="spellStart"/>
      <w:r w:rsidRPr="0077427C">
        <w:rPr>
          <w:rFonts w:ascii="Times New Roman" w:hAnsi="Times New Roman"/>
          <w:b/>
          <w:sz w:val="26"/>
          <w:szCs w:val="26"/>
        </w:rPr>
        <w:t>GHilardi</w:t>
      </w:r>
      <w:proofErr w:type="spellEnd"/>
      <w:r w:rsidRPr="0077427C">
        <w:rPr>
          <w:rFonts w:ascii="Times New Roman" w:hAnsi="Times New Roman"/>
          <w:b/>
          <w:sz w:val="26"/>
          <w:szCs w:val="26"/>
        </w:rPr>
        <w:t xml:space="preserve"> </w:t>
      </w:r>
      <w:proofErr w:type="spellStart"/>
      <w:r w:rsidRPr="0077427C">
        <w:rPr>
          <w:rFonts w:ascii="Times New Roman" w:hAnsi="Times New Roman"/>
          <w:b/>
          <w:sz w:val="26"/>
          <w:szCs w:val="26"/>
        </w:rPr>
        <w:t>Srl</w:t>
      </w:r>
      <w:proofErr w:type="spellEnd"/>
    </w:p>
    <w:p w14:paraId="2111241A" w14:textId="18353A60" w:rsidR="009C2AB2" w:rsidRPr="0077427C" w:rsidRDefault="001D0ED4" w:rsidP="009C2AB2">
      <w:pPr>
        <w:rPr>
          <w:rFonts w:ascii="Times New Roman" w:hAnsi="Times New Roman"/>
          <w:sz w:val="26"/>
          <w:szCs w:val="26"/>
        </w:rPr>
      </w:pPr>
      <w:r w:rsidRPr="0077427C">
        <w:rPr>
          <w:rFonts w:ascii="Times New Roman" w:hAnsi="Times New Roman"/>
          <w:sz w:val="26"/>
          <w:szCs w:val="26"/>
        </w:rPr>
        <w:t>Nel corso dell’audizione del 13 settembre 2023, è stato</w:t>
      </w:r>
      <w:r w:rsidR="009C2AB2" w:rsidRPr="0077427C">
        <w:rPr>
          <w:rFonts w:ascii="Times New Roman" w:hAnsi="Times New Roman"/>
          <w:sz w:val="26"/>
          <w:szCs w:val="26"/>
        </w:rPr>
        <w:t xml:space="preserve"> confermato l’impatto positivo che i bonus hanno avuto, sottolineando tuttavia la necessità di verificare la qualità degli interventi effettuati. Particolare accento è stato infatti posto sui materiali utilizzati, che spesso, per questioni di convenienza economica, non sono stati </w:t>
      </w:r>
      <w:r w:rsidR="009C2AB2" w:rsidRPr="0077427C">
        <w:rPr>
          <w:rFonts w:ascii="Times New Roman" w:hAnsi="Times New Roman"/>
          <w:i/>
          <w:sz w:val="26"/>
          <w:szCs w:val="26"/>
        </w:rPr>
        <w:t xml:space="preserve">green, </w:t>
      </w:r>
      <w:r w:rsidR="009C2AB2" w:rsidRPr="0077427C">
        <w:rPr>
          <w:rFonts w:ascii="Times New Roman" w:hAnsi="Times New Roman"/>
          <w:sz w:val="26"/>
          <w:szCs w:val="26"/>
        </w:rPr>
        <w:t xml:space="preserve">come dimostra l’utilizzo del polistirolo in luogo della lana di roccia per effettuare i cappotti termici, senza l’installazione contemporanea anche di uno scambiatore di aria </w:t>
      </w:r>
      <w:r w:rsidR="008E1514" w:rsidRPr="0077427C">
        <w:rPr>
          <w:rFonts w:ascii="Times New Roman" w:hAnsi="Times New Roman"/>
          <w:sz w:val="26"/>
          <w:szCs w:val="26"/>
        </w:rPr>
        <w:t xml:space="preserve">(detti </w:t>
      </w:r>
      <w:r w:rsidR="009C2AB2" w:rsidRPr="0077427C">
        <w:rPr>
          <w:rFonts w:ascii="Times New Roman" w:hAnsi="Times New Roman"/>
          <w:sz w:val="26"/>
          <w:szCs w:val="26"/>
        </w:rPr>
        <w:t>VMC</w:t>
      </w:r>
      <w:r w:rsidR="008E1514" w:rsidRPr="0077427C">
        <w:rPr>
          <w:rFonts w:ascii="Times New Roman" w:hAnsi="Times New Roman"/>
          <w:sz w:val="26"/>
          <w:szCs w:val="26"/>
        </w:rPr>
        <w:t>)</w:t>
      </w:r>
      <w:r w:rsidR="009C2AB2" w:rsidRPr="0077427C">
        <w:rPr>
          <w:rFonts w:ascii="Times New Roman" w:hAnsi="Times New Roman"/>
          <w:sz w:val="26"/>
          <w:szCs w:val="26"/>
        </w:rPr>
        <w:t xml:space="preserve">, con il risultato di una forte umidità intrappolata nell’edificio per mancanza di traspirazione con l’esterno. </w:t>
      </w:r>
      <w:r w:rsidR="00672735" w:rsidRPr="0077427C">
        <w:rPr>
          <w:rFonts w:ascii="Times New Roman" w:hAnsi="Times New Roman"/>
          <w:sz w:val="26"/>
          <w:szCs w:val="26"/>
        </w:rPr>
        <w:t>È</w:t>
      </w:r>
      <w:r w:rsidRPr="0077427C">
        <w:rPr>
          <w:rFonts w:ascii="Times New Roman" w:hAnsi="Times New Roman"/>
          <w:sz w:val="26"/>
          <w:szCs w:val="26"/>
        </w:rPr>
        <w:t xml:space="preserve"> stata</w:t>
      </w:r>
      <w:r w:rsidR="009C2AB2" w:rsidRPr="0077427C">
        <w:rPr>
          <w:rFonts w:ascii="Times New Roman" w:hAnsi="Times New Roman"/>
          <w:sz w:val="26"/>
          <w:szCs w:val="26"/>
        </w:rPr>
        <w:t xml:space="preserve"> quindi evidenziat</w:t>
      </w:r>
      <w:r w:rsidRPr="0077427C">
        <w:rPr>
          <w:rFonts w:ascii="Times New Roman" w:hAnsi="Times New Roman"/>
          <w:sz w:val="26"/>
          <w:szCs w:val="26"/>
        </w:rPr>
        <w:t>a</w:t>
      </w:r>
      <w:r w:rsidR="009C2AB2" w:rsidRPr="0077427C">
        <w:rPr>
          <w:rFonts w:ascii="Times New Roman" w:hAnsi="Times New Roman"/>
          <w:sz w:val="26"/>
          <w:szCs w:val="26"/>
        </w:rPr>
        <w:t xml:space="preserve"> la necessità di ricorrere a materiali </w:t>
      </w:r>
      <w:r w:rsidR="009C2AB2" w:rsidRPr="0077427C">
        <w:rPr>
          <w:rFonts w:ascii="Times New Roman" w:hAnsi="Times New Roman"/>
          <w:i/>
          <w:sz w:val="26"/>
          <w:szCs w:val="26"/>
        </w:rPr>
        <w:t>green</w:t>
      </w:r>
      <w:r w:rsidR="009C2AB2" w:rsidRPr="0077427C">
        <w:rPr>
          <w:rFonts w:ascii="Times New Roman" w:hAnsi="Times New Roman"/>
          <w:sz w:val="26"/>
          <w:szCs w:val="26"/>
        </w:rPr>
        <w:t xml:space="preserve"> o con un’alta percentuale </w:t>
      </w:r>
      <w:r w:rsidRPr="0077427C">
        <w:rPr>
          <w:rFonts w:ascii="Times New Roman" w:hAnsi="Times New Roman"/>
          <w:sz w:val="26"/>
          <w:szCs w:val="26"/>
        </w:rPr>
        <w:t>di tali componenti</w:t>
      </w:r>
      <w:r w:rsidR="009C2AB2" w:rsidRPr="0077427C">
        <w:rPr>
          <w:rFonts w:ascii="Times New Roman" w:hAnsi="Times New Roman"/>
          <w:sz w:val="26"/>
          <w:szCs w:val="26"/>
        </w:rPr>
        <w:t xml:space="preserve">, aumentando al loro interno le percentuali di riciclato, ed </w:t>
      </w:r>
      <w:r w:rsidRPr="0077427C">
        <w:rPr>
          <w:rFonts w:ascii="Times New Roman" w:hAnsi="Times New Roman"/>
          <w:sz w:val="26"/>
          <w:szCs w:val="26"/>
        </w:rPr>
        <w:t>è stata</w:t>
      </w:r>
      <w:r w:rsidR="009C2AB2" w:rsidRPr="0077427C">
        <w:rPr>
          <w:rFonts w:ascii="Times New Roman" w:hAnsi="Times New Roman"/>
          <w:sz w:val="26"/>
          <w:szCs w:val="26"/>
        </w:rPr>
        <w:t xml:space="preserve"> inoltre sottolineat</w:t>
      </w:r>
      <w:r w:rsidRPr="0077427C">
        <w:rPr>
          <w:rFonts w:ascii="Times New Roman" w:hAnsi="Times New Roman"/>
          <w:sz w:val="26"/>
          <w:szCs w:val="26"/>
        </w:rPr>
        <w:t>a</w:t>
      </w:r>
      <w:r w:rsidR="009C2AB2" w:rsidRPr="0077427C">
        <w:rPr>
          <w:rFonts w:ascii="Times New Roman" w:hAnsi="Times New Roman"/>
          <w:sz w:val="26"/>
          <w:szCs w:val="26"/>
        </w:rPr>
        <w:t xml:space="preserve"> l’importanza di </w:t>
      </w:r>
      <w:r w:rsidRPr="0077427C">
        <w:rPr>
          <w:rFonts w:ascii="Times New Roman" w:hAnsi="Times New Roman"/>
          <w:sz w:val="26"/>
          <w:szCs w:val="26"/>
        </w:rPr>
        <w:t>indic</w:t>
      </w:r>
      <w:r w:rsidR="009C2AB2" w:rsidRPr="0077427C">
        <w:rPr>
          <w:rFonts w:ascii="Times New Roman" w:hAnsi="Times New Roman"/>
          <w:sz w:val="26"/>
          <w:szCs w:val="26"/>
        </w:rPr>
        <w:t>are i cicli dei produttori, per evitare di mischiare tra loro prodotti che potrebbero non avere una buona riuscita insieme, e per far sì che la responsabilità ricada o sul prodotto o su chi l’ha posato.</w:t>
      </w:r>
    </w:p>
    <w:p w14:paraId="29A2D037" w14:textId="77777777" w:rsidR="009C2AB2" w:rsidRPr="0077427C" w:rsidRDefault="009C2AB2" w:rsidP="009C2AB2">
      <w:pPr>
        <w:rPr>
          <w:rFonts w:ascii="Times New Roman" w:hAnsi="Times New Roman"/>
          <w:sz w:val="26"/>
          <w:szCs w:val="26"/>
        </w:rPr>
      </w:pPr>
      <w:r w:rsidRPr="0077427C">
        <w:rPr>
          <w:rFonts w:ascii="Times New Roman" w:hAnsi="Times New Roman"/>
          <w:sz w:val="26"/>
          <w:szCs w:val="26"/>
        </w:rPr>
        <w:t>Quanto alla riduzione delle emissioni</w:t>
      </w:r>
      <w:r w:rsidR="001D0ED4" w:rsidRPr="0077427C">
        <w:rPr>
          <w:rFonts w:ascii="Times New Roman" w:hAnsi="Times New Roman"/>
          <w:sz w:val="26"/>
          <w:szCs w:val="26"/>
        </w:rPr>
        <w:t xml:space="preserve">, ad avviso di </w:t>
      </w:r>
      <w:r w:rsidR="006D617F" w:rsidRPr="0077427C">
        <w:rPr>
          <w:rFonts w:ascii="Times New Roman" w:hAnsi="Times New Roman"/>
          <w:sz w:val="26"/>
          <w:szCs w:val="26"/>
        </w:rPr>
        <w:t>ISG Gh</w:t>
      </w:r>
      <w:r w:rsidR="001D0ED4" w:rsidRPr="0077427C">
        <w:rPr>
          <w:rFonts w:ascii="Times New Roman" w:hAnsi="Times New Roman"/>
          <w:sz w:val="26"/>
          <w:szCs w:val="26"/>
        </w:rPr>
        <w:t xml:space="preserve">ilardi </w:t>
      </w:r>
      <w:proofErr w:type="spellStart"/>
      <w:r w:rsidR="001D0ED4" w:rsidRPr="0077427C">
        <w:rPr>
          <w:rFonts w:ascii="Times New Roman" w:hAnsi="Times New Roman"/>
          <w:sz w:val="26"/>
          <w:szCs w:val="26"/>
        </w:rPr>
        <w:t>Srl</w:t>
      </w:r>
      <w:proofErr w:type="spellEnd"/>
      <w:r w:rsidR="001D0ED4" w:rsidRPr="0077427C">
        <w:rPr>
          <w:rFonts w:ascii="Times New Roman" w:hAnsi="Times New Roman"/>
          <w:sz w:val="26"/>
          <w:szCs w:val="26"/>
        </w:rPr>
        <w:t>,</w:t>
      </w:r>
      <w:r w:rsidRPr="0077427C">
        <w:rPr>
          <w:rFonts w:ascii="Times New Roman" w:hAnsi="Times New Roman"/>
          <w:sz w:val="26"/>
          <w:szCs w:val="26"/>
        </w:rPr>
        <w:t xml:space="preserve"> l’intervento </w:t>
      </w:r>
      <w:r w:rsidR="001D0ED4" w:rsidRPr="0077427C">
        <w:rPr>
          <w:rFonts w:ascii="Times New Roman" w:hAnsi="Times New Roman"/>
          <w:sz w:val="26"/>
          <w:szCs w:val="26"/>
        </w:rPr>
        <w:t>più</w:t>
      </w:r>
      <w:r w:rsidRPr="0077427C">
        <w:rPr>
          <w:rFonts w:ascii="Times New Roman" w:hAnsi="Times New Roman"/>
          <w:sz w:val="26"/>
          <w:szCs w:val="26"/>
        </w:rPr>
        <w:t xml:space="preserve"> vantaggio</w:t>
      </w:r>
      <w:r w:rsidR="001D0ED4" w:rsidRPr="0077427C">
        <w:rPr>
          <w:rFonts w:ascii="Times New Roman" w:hAnsi="Times New Roman"/>
          <w:sz w:val="26"/>
          <w:szCs w:val="26"/>
        </w:rPr>
        <w:t xml:space="preserve">so riguarderebbe </w:t>
      </w:r>
      <w:r w:rsidRPr="0077427C">
        <w:rPr>
          <w:rFonts w:ascii="Times New Roman" w:hAnsi="Times New Roman"/>
          <w:sz w:val="26"/>
          <w:szCs w:val="26"/>
        </w:rPr>
        <w:t>l’installazione di finestre con tripli vetri, triple guarnizioni e spessori maggiorati, che permetterebbero ad un’alta percentuale di case di essere in linea con i parametri richiesti dall’UE per il 2025, o di essere molto vicini a tali parametri, con un esborso nettamente inferiore da parte dello Stato.</w:t>
      </w:r>
    </w:p>
    <w:p w14:paraId="661A8E7E" w14:textId="77777777" w:rsidR="009C2AB2" w:rsidRPr="0077427C" w:rsidRDefault="009C2AB2" w:rsidP="009C2AB2">
      <w:pPr>
        <w:rPr>
          <w:rFonts w:ascii="Times New Roman" w:hAnsi="Times New Roman"/>
          <w:sz w:val="26"/>
          <w:szCs w:val="26"/>
        </w:rPr>
      </w:pPr>
    </w:p>
    <w:p w14:paraId="23D960AD" w14:textId="77777777" w:rsidR="00EB4E60" w:rsidRPr="0077427C" w:rsidRDefault="00EB4E60" w:rsidP="009C2AB2">
      <w:pPr>
        <w:rPr>
          <w:rFonts w:ascii="Times New Roman" w:hAnsi="Times New Roman"/>
          <w:i/>
          <w:sz w:val="26"/>
          <w:szCs w:val="26"/>
        </w:rPr>
      </w:pPr>
      <w:r w:rsidRPr="0077427C">
        <w:rPr>
          <w:rFonts w:ascii="Times New Roman" w:hAnsi="Times New Roman"/>
          <w:b/>
          <w:sz w:val="26"/>
          <w:szCs w:val="26"/>
        </w:rPr>
        <w:t>Ministro dell'ambiente e della sicurezza energetica, Gilberto Pichetto Fratin</w:t>
      </w:r>
      <w:r w:rsidR="00414A46" w:rsidRPr="0077427C">
        <w:rPr>
          <w:rFonts w:ascii="Times New Roman" w:hAnsi="Times New Roman"/>
          <w:i/>
          <w:sz w:val="26"/>
          <w:szCs w:val="26"/>
        </w:rPr>
        <w:t xml:space="preserve"> </w:t>
      </w:r>
    </w:p>
    <w:p w14:paraId="655E8BB6" w14:textId="77777777" w:rsidR="009C2AB2" w:rsidRPr="0077427C" w:rsidRDefault="009C2AB2" w:rsidP="009C2AB2">
      <w:pPr>
        <w:rPr>
          <w:rFonts w:ascii="Times New Roman" w:hAnsi="Times New Roman"/>
          <w:sz w:val="26"/>
          <w:szCs w:val="26"/>
        </w:rPr>
      </w:pPr>
      <w:r w:rsidRPr="0077427C">
        <w:rPr>
          <w:rFonts w:ascii="Times New Roman" w:hAnsi="Times New Roman"/>
          <w:sz w:val="26"/>
          <w:szCs w:val="26"/>
        </w:rPr>
        <w:t xml:space="preserve">Il Ministro dell'ambiente e della sicurezza energetica, </w:t>
      </w:r>
      <w:r w:rsidR="001D0ED4" w:rsidRPr="0077427C">
        <w:rPr>
          <w:rFonts w:ascii="Times New Roman" w:hAnsi="Times New Roman"/>
          <w:sz w:val="26"/>
          <w:szCs w:val="26"/>
        </w:rPr>
        <w:t xml:space="preserve">nell’audizione del 12 ottobre 2023, </w:t>
      </w:r>
      <w:r w:rsidRPr="0077427C">
        <w:rPr>
          <w:rFonts w:ascii="Times New Roman" w:hAnsi="Times New Roman"/>
          <w:sz w:val="26"/>
          <w:szCs w:val="26"/>
        </w:rPr>
        <w:t xml:space="preserve">dopo aver richiamato i principali dati forniti da Enea (secondo i quali, al 30 settembre 2023, il numero totale delle asseverazioni è stato pari a 430.661 e gli investimenti ammessi a detrazione, a livello nazionale, erano pari a circa 88,17 miliardi) e aver sottolineato che i problemi creati dal </w:t>
      </w:r>
      <w:r w:rsidRPr="0077427C">
        <w:rPr>
          <w:rFonts w:ascii="Times New Roman" w:hAnsi="Times New Roman"/>
          <w:i/>
          <w:sz w:val="26"/>
          <w:szCs w:val="26"/>
        </w:rPr>
        <w:t>superbonus</w:t>
      </w:r>
      <w:r w:rsidRPr="0077427C">
        <w:rPr>
          <w:rFonts w:ascii="Times New Roman" w:hAnsi="Times New Roman"/>
          <w:sz w:val="26"/>
          <w:szCs w:val="26"/>
        </w:rPr>
        <w:t xml:space="preserve"> sui conti pubblici o sull'aumento dei prezzi nel settore non trovano giustificazione negli effetti espansivi, si è concentrato, più che sull'esistente, sulle prospettive e sfide future, partendo dalla consapevolezza che il parco immobiliare italiano fa parte di quel settore civile che, insieme al comparto agricolo e a quello dei trasporti, costituiscono le tre macro aree sulle quali intervenire con un'importante azione di riduzione delle emissioni.</w:t>
      </w:r>
    </w:p>
    <w:p w14:paraId="7722AE2A" w14:textId="77777777" w:rsidR="009C2AB2" w:rsidRPr="0077427C" w:rsidRDefault="009C2AB2" w:rsidP="009C2AB2">
      <w:pPr>
        <w:rPr>
          <w:rFonts w:ascii="Times New Roman" w:hAnsi="Times New Roman"/>
          <w:sz w:val="26"/>
          <w:szCs w:val="26"/>
        </w:rPr>
      </w:pPr>
      <w:r w:rsidRPr="0077427C">
        <w:rPr>
          <w:rFonts w:ascii="Times New Roman" w:hAnsi="Times New Roman"/>
          <w:sz w:val="26"/>
          <w:szCs w:val="26"/>
        </w:rPr>
        <w:t>Il Ministro ha innanzitutto ricordato i numerosi obiettivi energetico</w:t>
      </w:r>
      <w:r w:rsidR="00AB7912" w:rsidRPr="0077427C">
        <w:rPr>
          <w:rFonts w:ascii="Times New Roman" w:hAnsi="Times New Roman"/>
          <w:sz w:val="26"/>
          <w:szCs w:val="26"/>
        </w:rPr>
        <w:t>-</w:t>
      </w:r>
      <w:r w:rsidRPr="0077427C">
        <w:rPr>
          <w:rFonts w:ascii="Times New Roman" w:hAnsi="Times New Roman"/>
          <w:sz w:val="26"/>
          <w:szCs w:val="26"/>
        </w:rPr>
        <w:t>ambientali che investono il settore civile: l'obiettivo di riduzione dei consumi finali complessivi del sistema Paese e l'obiettivo di risparmio energetico da politiche attive; l'obiettivo di riduzione delle emissioni dei settori ETS civile e trasporti; l'obiettivo di riqualificazione annua al 3 per cento degli edifici pubblici; l'obiettivo di riduzione dei consumi della pubblica amministrazione pari all'1,9 per cento annuo; l'obiettivo di incremento della quota di energia rinnovabile nei consumi finali e l'obiettivo specifico per il settore riscaldamento e raffrescamento.</w:t>
      </w:r>
    </w:p>
    <w:p w14:paraId="0880746D" w14:textId="77777777" w:rsidR="009C2AB2" w:rsidRPr="0077427C" w:rsidRDefault="009C2AB2" w:rsidP="009C2AB2">
      <w:pPr>
        <w:rPr>
          <w:rFonts w:ascii="Times New Roman" w:hAnsi="Times New Roman"/>
          <w:sz w:val="26"/>
          <w:szCs w:val="26"/>
        </w:rPr>
      </w:pPr>
      <w:r w:rsidRPr="0077427C">
        <w:rPr>
          <w:rFonts w:ascii="Times New Roman" w:hAnsi="Times New Roman"/>
          <w:sz w:val="26"/>
          <w:szCs w:val="26"/>
        </w:rPr>
        <w:t xml:space="preserve">Per rispondere a tali sfidanti obiettivi per il settore civile, la bozza del Piano nazionale integrato per l'energia e il clima (PNIEC) prevede l'attuazione di una riforma generale delle detrazioni </w:t>
      </w:r>
      <w:r w:rsidR="00AB7912" w:rsidRPr="0077427C">
        <w:rPr>
          <w:rFonts w:ascii="Times New Roman" w:hAnsi="Times New Roman"/>
          <w:sz w:val="26"/>
          <w:szCs w:val="26"/>
        </w:rPr>
        <w:t>con</w:t>
      </w:r>
      <w:r w:rsidRPr="0077427C">
        <w:rPr>
          <w:rFonts w:ascii="Times New Roman" w:hAnsi="Times New Roman"/>
          <w:sz w:val="26"/>
          <w:szCs w:val="26"/>
        </w:rPr>
        <w:t xml:space="preserve"> un approccio integrato ed efficiente, con riguardo alle opere di riqualificazione degli edifici residenziali esistenti</w:t>
      </w:r>
      <w:r w:rsidR="00AB7912" w:rsidRPr="0077427C">
        <w:rPr>
          <w:rFonts w:ascii="Times New Roman" w:hAnsi="Times New Roman"/>
          <w:sz w:val="26"/>
          <w:szCs w:val="26"/>
        </w:rPr>
        <w:t xml:space="preserve">, </w:t>
      </w:r>
      <w:r w:rsidRPr="0077427C">
        <w:rPr>
          <w:rFonts w:ascii="Times New Roman" w:hAnsi="Times New Roman"/>
          <w:sz w:val="26"/>
          <w:szCs w:val="26"/>
        </w:rPr>
        <w:t xml:space="preserve">e che superi l'attuale frammentazione delle varie detrazioni ad oggi attive. Un tale nuovo approccio, infatti, consentirebbe di ottimizzare le tempistiche e i costi di riqualificazione di un edificio favorendo gli interventi di riqualificazione profonda in un'ottica di sostenibilità che interessi vari ambiti; quello energetico sotto il profilo dell'efficienza, della produzione di energia da fonte rinnovabile e dell'elettrificazione dei consumi; quello della digitalizzazione degli edifici e del dialogo con le altre infrastrutture quali quelle dei trasporti; quello della sicurezza con riferimento agli aspetti sismici e all'antincendio; quello della tutela ambientale con riferimento alla riduzione dei consumi idrici e all'uso del verde. Tale riforma, che dovrà avere una durata almeno decennale, riguarderà congiuntamente tutti gli aspetti citati, prevedendo diverse aliquote di detrazioni in funzione delle </w:t>
      </w:r>
      <w:r w:rsidRPr="0077427C">
        <w:rPr>
          <w:rFonts w:ascii="Times New Roman" w:hAnsi="Times New Roman"/>
          <w:i/>
          <w:sz w:val="26"/>
          <w:szCs w:val="26"/>
        </w:rPr>
        <w:t>performance</w:t>
      </w:r>
      <w:r w:rsidRPr="0077427C">
        <w:rPr>
          <w:rFonts w:ascii="Times New Roman" w:hAnsi="Times New Roman"/>
          <w:sz w:val="26"/>
          <w:szCs w:val="26"/>
        </w:rPr>
        <w:t xml:space="preserve"> generali raggiunte dall'edificio, da ottenere attraverso interventi con vari livelli di priorità. In particolare</w:t>
      </w:r>
      <w:r w:rsidR="005F4FFE" w:rsidRPr="0077427C">
        <w:rPr>
          <w:rFonts w:ascii="Times New Roman" w:hAnsi="Times New Roman"/>
          <w:sz w:val="26"/>
          <w:szCs w:val="26"/>
        </w:rPr>
        <w:t>,</w:t>
      </w:r>
      <w:r w:rsidRPr="0077427C">
        <w:rPr>
          <w:rFonts w:ascii="Times New Roman" w:hAnsi="Times New Roman"/>
          <w:sz w:val="26"/>
          <w:szCs w:val="26"/>
        </w:rPr>
        <w:t xml:space="preserve"> tale riforma dovrà: essere indirizzata prevalentemente all'unità immobiliare soggetta all'obbligo della direttiva «case green» (prime case, unità immobiliari con classe energetica bassa, situazioni di povertà energetica ed edilizia residenziale); garantire aliquote distribuite in un massimo di 10 anni; ammettere la combinazione di più interventi; essere affiancata da strumenti finanziari di supporto, ad esempio finanziamento a tasso agevolato, anche a copertura totale dei costi di investimento e cessione del credito, con condizioni di favore per le persone in condizione di povertà energetica.</w:t>
      </w:r>
    </w:p>
    <w:p w14:paraId="42FF341E" w14:textId="77777777" w:rsidR="009C2AB2" w:rsidRPr="0077427C" w:rsidRDefault="009C2AB2" w:rsidP="009C2AB2">
      <w:pPr>
        <w:rPr>
          <w:rFonts w:ascii="Times New Roman" w:hAnsi="Times New Roman"/>
          <w:sz w:val="26"/>
          <w:szCs w:val="26"/>
        </w:rPr>
      </w:pPr>
      <w:r w:rsidRPr="0077427C">
        <w:rPr>
          <w:rFonts w:ascii="Times New Roman" w:hAnsi="Times New Roman"/>
          <w:sz w:val="26"/>
          <w:szCs w:val="26"/>
        </w:rPr>
        <w:t>Lo stesso Ministro ha poi sottolineato che un altro ragionamento va effettuato per gli edifici pubblici e l'edilizia residenziale pubblica, non ammessa ai meccanismi di detrazione fiscale. Per tali immobili il Ministero dell'ambiente e della sicurezza energetica ha attivato altri strumenti di incentivazione degli interventi di riqualificazione energetica del parco immobiliare quali il conto termico, il PREPAC (Programma di riqualificazione energetica della Pubblica Amministrazione centrale), il Fondo nazionale di efficienza energetica (FNEE) e l'Avviso pubblico Comuni per la sostenibilità e l'efficienza energetica (CSE).</w:t>
      </w:r>
    </w:p>
    <w:p w14:paraId="537F376B" w14:textId="77777777" w:rsidR="009C2AB2" w:rsidRPr="0077427C" w:rsidRDefault="009C2AB2" w:rsidP="009C2AB2">
      <w:pPr>
        <w:rPr>
          <w:rFonts w:ascii="Times New Roman" w:hAnsi="Times New Roman"/>
          <w:sz w:val="26"/>
          <w:szCs w:val="26"/>
        </w:rPr>
      </w:pPr>
      <w:r w:rsidRPr="0077427C">
        <w:rPr>
          <w:rFonts w:ascii="Times New Roman" w:hAnsi="Times New Roman"/>
          <w:sz w:val="26"/>
          <w:szCs w:val="26"/>
        </w:rPr>
        <w:t xml:space="preserve">Il Ministro si è poi soffermato sulla direttiva «case green», che nel nuovo testo prevede che solo gli edifici residenziali di nuova costruzione dovranno essere ad emissione zero entro il 2030, mentre per quelli esistenti la </w:t>
      </w:r>
      <w:r w:rsidRPr="0077427C">
        <w:rPr>
          <w:rFonts w:ascii="Times New Roman" w:hAnsi="Times New Roman"/>
          <w:i/>
          <w:sz w:val="26"/>
          <w:szCs w:val="26"/>
        </w:rPr>
        <w:t xml:space="preserve">dead line </w:t>
      </w:r>
      <w:r w:rsidRPr="0077427C">
        <w:rPr>
          <w:rFonts w:ascii="Times New Roman" w:hAnsi="Times New Roman"/>
          <w:sz w:val="26"/>
          <w:szCs w:val="26"/>
        </w:rPr>
        <w:t>per il raggiungimento del target è il 2050. Il Ministro ha poi sottolineato che, nell'ambito dei triloghi, l’Italia ha rimarcato la peculiarità del contesto nazionale (caratterizzato da un patrimonio di 31 milioni di fabbricati, 21 milioni dei quali oltre la classe D), per il quale, per questioni storiche, di conformazione geografica, ecc., è necessario individuare una quota di patrimonio edilizio esentabile; diversamente gli obiettivi temporali attualmente previsti, specie per gli edifici residenziali esistenti, non sono raggiungibili. In proposito il Ministro accosta questi 21 milioni con il dato di 430 mila fabbricati riqualificati con il superbonus. Tale percorso (da 430 mila a 21 milioni) è un percorso che il Paese deve darsi, ma con i tempi compatibili per poter raggiungere l'obiettivo.</w:t>
      </w:r>
    </w:p>
    <w:p w14:paraId="527DD983" w14:textId="77777777" w:rsidR="009C2AB2" w:rsidRPr="0077427C" w:rsidRDefault="009C2AB2" w:rsidP="009C2AB2">
      <w:pPr>
        <w:rPr>
          <w:rFonts w:ascii="Times New Roman" w:hAnsi="Times New Roman"/>
          <w:sz w:val="26"/>
          <w:szCs w:val="26"/>
        </w:rPr>
      </w:pPr>
      <w:r w:rsidRPr="0077427C">
        <w:rPr>
          <w:rFonts w:ascii="Times New Roman" w:hAnsi="Times New Roman"/>
          <w:sz w:val="26"/>
          <w:szCs w:val="26"/>
        </w:rPr>
        <w:t xml:space="preserve">Per quanto riguarda la valutazione dell’impatto degli incentivi edilizi sulla riduzione delle emissioni, il Ministro ha evidenziato che una misurazione completa potrà essere fatta solo a partire dai dati relativi al 2023, in modo da depurare i risultati dall'effetto Covid e dall'effetto dell'esplosione dei prezzi dell'energia. </w:t>
      </w:r>
    </w:p>
    <w:p w14:paraId="410E6808" w14:textId="77777777" w:rsidR="009C2AB2" w:rsidRPr="0077427C" w:rsidRDefault="009C2AB2" w:rsidP="009C2AB2">
      <w:pPr>
        <w:rPr>
          <w:rFonts w:ascii="Times New Roman" w:hAnsi="Times New Roman"/>
          <w:sz w:val="26"/>
          <w:szCs w:val="26"/>
        </w:rPr>
      </w:pPr>
    </w:p>
    <w:p w14:paraId="542934CD" w14:textId="77777777" w:rsidR="00EB4E60" w:rsidRPr="0077427C" w:rsidRDefault="00EB4E60" w:rsidP="009C2AB2">
      <w:pPr>
        <w:rPr>
          <w:rFonts w:ascii="Times New Roman" w:hAnsi="Times New Roman"/>
          <w:b/>
          <w:sz w:val="26"/>
          <w:szCs w:val="26"/>
        </w:rPr>
      </w:pPr>
      <w:r w:rsidRPr="0077427C">
        <w:rPr>
          <w:rFonts w:ascii="Times New Roman" w:hAnsi="Times New Roman"/>
          <w:b/>
          <w:sz w:val="26"/>
          <w:szCs w:val="26"/>
        </w:rPr>
        <w:t>CNEL</w:t>
      </w:r>
      <w:r w:rsidR="00414A46" w:rsidRPr="0077427C">
        <w:rPr>
          <w:rFonts w:ascii="Times New Roman" w:hAnsi="Times New Roman"/>
          <w:b/>
          <w:sz w:val="26"/>
          <w:szCs w:val="26"/>
        </w:rPr>
        <w:t xml:space="preserve"> </w:t>
      </w:r>
    </w:p>
    <w:p w14:paraId="4BDB6D9F" w14:textId="77777777" w:rsidR="009C2AB2" w:rsidRPr="0077427C" w:rsidRDefault="009C2AB2" w:rsidP="009C2AB2">
      <w:pPr>
        <w:rPr>
          <w:rFonts w:ascii="Times New Roman" w:hAnsi="Times New Roman"/>
          <w:sz w:val="26"/>
          <w:szCs w:val="26"/>
        </w:rPr>
      </w:pPr>
      <w:r w:rsidRPr="0077427C">
        <w:rPr>
          <w:rFonts w:ascii="Times New Roman" w:hAnsi="Times New Roman"/>
          <w:sz w:val="26"/>
          <w:szCs w:val="26"/>
        </w:rPr>
        <w:t>In un</w:t>
      </w:r>
      <w:r w:rsidR="00177701" w:rsidRPr="0077427C">
        <w:rPr>
          <w:rFonts w:ascii="Times New Roman" w:hAnsi="Times New Roman"/>
          <w:sz w:val="26"/>
          <w:szCs w:val="26"/>
        </w:rPr>
        <w:t>a</w:t>
      </w:r>
      <w:r w:rsidRPr="0077427C">
        <w:rPr>
          <w:rFonts w:ascii="Times New Roman" w:hAnsi="Times New Roman"/>
          <w:sz w:val="26"/>
          <w:szCs w:val="26"/>
        </w:rPr>
        <w:t xml:space="preserve"> </w:t>
      </w:r>
      <w:r w:rsidR="00177701" w:rsidRPr="0077427C">
        <w:rPr>
          <w:rFonts w:ascii="Times New Roman" w:hAnsi="Times New Roman"/>
          <w:sz w:val="26"/>
          <w:szCs w:val="26"/>
        </w:rPr>
        <w:t>lettera</w:t>
      </w:r>
      <w:r w:rsidRPr="0077427C">
        <w:rPr>
          <w:rFonts w:ascii="Times New Roman" w:hAnsi="Times New Roman"/>
          <w:sz w:val="26"/>
          <w:szCs w:val="26"/>
        </w:rPr>
        <w:t xml:space="preserve"> trasmess</w:t>
      </w:r>
      <w:r w:rsidR="00177701" w:rsidRPr="0077427C">
        <w:rPr>
          <w:rFonts w:ascii="Times New Roman" w:hAnsi="Times New Roman"/>
          <w:sz w:val="26"/>
          <w:szCs w:val="26"/>
        </w:rPr>
        <w:t>a</w:t>
      </w:r>
      <w:r w:rsidRPr="0077427C">
        <w:rPr>
          <w:rFonts w:ascii="Times New Roman" w:hAnsi="Times New Roman"/>
          <w:sz w:val="26"/>
          <w:szCs w:val="26"/>
        </w:rPr>
        <w:t xml:space="preserve"> </w:t>
      </w:r>
      <w:r w:rsidR="00537CF8" w:rsidRPr="0077427C">
        <w:rPr>
          <w:rFonts w:ascii="Times New Roman" w:hAnsi="Times New Roman"/>
          <w:sz w:val="26"/>
          <w:szCs w:val="26"/>
        </w:rPr>
        <w:t xml:space="preserve">il 1° agosto 2023 </w:t>
      </w:r>
      <w:r w:rsidRPr="0077427C">
        <w:rPr>
          <w:rFonts w:ascii="Times New Roman" w:hAnsi="Times New Roman"/>
          <w:sz w:val="26"/>
          <w:szCs w:val="26"/>
        </w:rPr>
        <w:t>al</w:t>
      </w:r>
      <w:r w:rsidR="00177701" w:rsidRPr="0077427C">
        <w:rPr>
          <w:rFonts w:ascii="Times New Roman" w:hAnsi="Times New Roman"/>
          <w:sz w:val="26"/>
          <w:szCs w:val="26"/>
        </w:rPr>
        <w:t xml:space="preserve"> Presidente della </w:t>
      </w:r>
      <w:r w:rsidRPr="0077427C">
        <w:rPr>
          <w:rFonts w:ascii="Times New Roman" w:hAnsi="Times New Roman"/>
          <w:sz w:val="26"/>
          <w:szCs w:val="26"/>
        </w:rPr>
        <w:t>Commissione,</w:t>
      </w:r>
      <w:r w:rsidR="00177701" w:rsidRPr="0077427C">
        <w:rPr>
          <w:rFonts w:ascii="Times New Roman" w:hAnsi="Times New Roman"/>
          <w:sz w:val="26"/>
          <w:szCs w:val="26"/>
        </w:rPr>
        <w:t xml:space="preserve"> </w:t>
      </w:r>
      <w:r w:rsidR="00537CF8" w:rsidRPr="0077427C">
        <w:rPr>
          <w:rFonts w:ascii="Times New Roman" w:hAnsi="Times New Roman"/>
          <w:sz w:val="26"/>
          <w:szCs w:val="26"/>
        </w:rPr>
        <w:t>a cui veniva allegato il parere espresso sulla proposta di Piano nazionale di ripresa e resilienza (PNRR)</w:t>
      </w:r>
      <w:r w:rsidRPr="0077427C">
        <w:rPr>
          <w:rFonts w:ascii="Times New Roman" w:hAnsi="Times New Roman"/>
          <w:sz w:val="26"/>
          <w:szCs w:val="26"/>
        </w:rPr>
        <w:t xml:space="preserve">, il </w:t>
      </w:r>
      <w:r w:rsidR="00537CF8" w:rsidRPr="0077427C">
        <w:rPr>
          <w:rFonts w:ascii="Times New Roman" w:hAnsi="Times New Roman"/>
          <w:sz w:val="26"/>
          <w:szCs w:val="26"/>
        </w:rPr>
        <w:t xml:space="preserve">Presidente del </w:t>
      </w:r>
      <w:r w:rsidRPr="0077427C">
        <w:rPr>
          <w:rFonts w:ascii="Times New Roman" w:hAnsi="Times New Roman"/>
          <w:sz w:val="26"/>
          <w:szCs w:val="26"/>
        </w:rPr>
        <w:t xml:space="preserve">CNEL ha </w:t>
      </w:r>
      <w:r w:rsidR="00537CF8" w:rsidRPr="0077427C">
        <w:rPr>
          <w:rFonts w:ascii="Times New Roman" w:hAnsi="Times New Roman"/>
          <w:sz w:val="26"/>
          <w:szCs w:val="26"/>
        </w:rPr>
        <w:t>ricordato</w:t>
      </w:r>
      <w:r w:rsidRPr="0077427C">
        <w:rPr>
          <w:rFonts w:ascii="Times New Roman" w:hAnsi="Times New Roman"/>
          <w:sz w:val="26"/>
          <w:szCs w:val="26"/>
        </w:rPr>
        <w:t xml:space="preserve"> le seguenti priorità di intervento</w:t>
      </w:r>
      <w:r w:rsidR="00537CF8" w:rsidRPr="0077427C">
        <w:rPr>
          <w:rFonts w:ascii="Times New Roman" w:hAnsi="Times New Roman"/>
          <w:sz w:val="26"/>
          <w:szCs w:val="26"/>
        </w:rPr>
        <w:t xml:space="preserve"> espresse in tale sede,</w:t>
      </w:r>
      <w:r w:rsidRPr="0077427C">
        <w:rPr>
          <w:rFonts w:ascii="Times New Roman" w:hAnsi="Times New Roman"/>
          <w:sz w:val="26"/>
          <w:szCs w:val="26"/>
        </w:rPr>
        <w:t xml:space="preserve"> in </w:t>
      </w:r>
      <w:r w:rsidR="00537CF8" w:rsidRPr="0077427C">
        <w:rPr>
          <w:rFonts w:ascii="Times New Roman" w:hAnsi="Times New Roman"/>
          <w:sz w:val="26"/>
          <w:szCs w:val="26"/>
        </w:rPr>
        <w:t xml:space="preserve">quanto rilevanti rispetto ai </w:t>
      </w:r>
      <w:r w:rsidRPr="0077427C">
        <w:rPr>
          <w:rFonts w:ascii="Times New Roman" w:hAnsi="Times New Roman"/>
          <w:sz w:val="26"/>
          <w:szCs w:val="26"/>
        </w:rPr>
        <w:t>temi oggetto dell’indagine conoscitiva:</w:t>
      </w:r>
    </w:p>
    <w:p w14:paraId="3C093BBD" w14:textId="77777777" w:rsidR="009C2AB2" w:rsidRPr="0077427C" w:rsidRDefault="009C2AB2" w:rsidP="00EB4E60">
      <w:pPr>
        <w:numPr>
          <w:ilvl w:val="0"/>
          <w:numId w:val="14"/>
        </w:numPr>
        <w:spacing w:line="240" w:lineRule="auto"/>
        <w:rPr>
          <w:rFonts w:ascii="Times New Roman" w:hAnsi="Times New Roman"/>
          <w:sz w:val="26"/>
          <w:szCs w:val="26"/>
        </w:rPr>
      </w:pPr>
      <w:r w:rsidRPr="0077427C">
        <w:rPr>
          <w:rFonts w:ascii="Times New Roman" w:hAnsi="Times New Roman"/>
          <w:sz w:val="26"/>
          <w:szCs w:val="26"/>
        </w:rPr>
        <w:t xml:space="preserve">lo sviluppo delle filiere della bioeconomia, colture industriali e sottoprodotti, ed in particolare delle infrastrutture a supporto, a partire dalle filiere della bioedilizia, del tessile, della cosmesi e della nutraceutica, anche attraverso la creazione di distretti della bioeconomia; </w:t>
      </w:r>
    </w:p>
    <w:p w14:paraId="4945865F" w14:textId="77777777" w:rsidR="009C2AB2" w:rsidRPr="0077427C" w:rsidRDefault="009C2AB2" w:rsidP="00EB4E60">
      <w:pPr>
        <w:numPr>
          <w:ilvl w:val="0"/>
          <w:numId w:val="14"/>
        </w:numPr>
        <w:spacing w:line="240" w:lineRule="auto"/>
        <w:rPr>
          <w:rFonts w:ascii="Times New Roman" w:hAnsi="Times New Roman"/>
          <w:sz w:val="26"/>
          <w:szCs w:val="26"/>
        </w:rPr>
      </w:pPr>
      <w:r w:rsidRPr="0077427C">
        <w:rPr>
          <w:rFonts w:ascii="Times New Roman" w:hAnsi="Times New Roman"/>
          <w:sz w:val="26"/>
          <w:szCs w:val="26"/>
        </w:rPr>
        <w:t>l'accesso al superbonus 110% per l'efficienza energetica anche alle imprese agricole, a partire da quelle agrituristiche, prevedendo un maggiore utilizzo delle biomasse e dei biomateriali, ed inserendo anche la sostituzione di beni e coperture in amianto nel settore agricolo nell'ambito del superbonus;</w:t>
      </w:r>
    </w:p>
    <w:p w14:paraId="0B40B3A5" w14:textId="77777777" w:rsidR="009C2AB2" w:rsidRPr="0077427C" w:rsidRDefault="009C2AB2" w:rsidP="00EB4E60">
      <w:pPr>
        <w:numPr>
          <w:ilvl w:val="0"/>
          <w:numId w:val="14"/>
        </w:numPr>
        <w:spacing w:line="240" w:lineRule="auto"/>
        <w:rPr>
          <w:rFonts w:ascii="Times New Roman" w:hAnsi="Times New Roman"/>
          <w:sz w:val="26"/>
          <w:szCs w:val="26"/>
        </w:rPr>
      </w:pPr>
      <w:r w:rsidRPr="0077427C">
        <w:rPr>
          <w:rFonts w:ascii="Times New Roman" w:hAnsi="Times New Roman"/>
          <w:sz w:val="26"/>
          <w:szCs w:val="26"/>
        </w:rPr>
        <w:t>per diminuire le emissioni di CO2, l'introduzione di un credito di imposta per le imprese private che realizzano opere e mantenimento del verde urbano e nelle aree boschive.</w:t>
      </w:r>
    </w:p>
    <w:p w14:paraId="4C387F35" w14:textId="77777777" w:rsidR="009C2AB2" w:rsidRPr="0077427C" w:rsidRDefault="009C2AB2" w:rsidP="009C2AB2">
      <w:pPr>
        <w:rPr>
          <w:rFonts w:ascii="Times New Roman" w:hAnsi="Times New Roman"/>
          <w:sz w:val="26"/>
          <w:szCs w:val="26"/>
        </w:rPr>
      </w:pPr>
    </w:p>
    <w:p w14:paraId="2E74EBEC" w14:textId="77777777" w:rsidR="006B6A67" w:rsidRPr="0077427C" w:rsidRDefault="007D3F93" w:rsidP="006B6A67">
      <w:pPr>
        <w:spacing w:line="240" w:lineRule="auto"/>
        <w:ind w:right="113"/>
        <w:rPr>
          <w:rFonts w:ascii="Times New Roman" w:hAnsi="Times New Roman"/>
          <w:sz w:val="26"/>
          <w:szCs w:val="26"/>
        </w:rPr>
      </w:pPr>
      <w:r w:rsidRPr="0077427C">
        <w:rPr>
          <w:rFonts w:ascii="Times New Roman" w:hAnsi="Times New Roman"/>
          <w:b/>
          <w:sz w:val="26"/>
          <w:szCs w:val="26"/>
        </w:rPr>
        <w:t>Agenzia delle entrate</w:t>
      </w:r>
    </w:p>
    <w:p w14:paraId="568B8424" w14:textId="77777777" w:rsidR="007D3F93" w:rsidRPr="0077427C" w:rsidRDefault="007D3F93" w:rsidP="007D3F93">
      <w:pPr>
        <w:spacing w:line="240" w:lineRule="auto"/>
        <w:ind w:right="113"/>
        <w:rPr>
          <w:rFonts w:ascii="Times New Roman" w:hAnsi="Times New Roman"/>
          <w:sz w:val="26"/>
          <w:szCs w:val="26"/>
        </w:rPr>
      </w:pPr>
      <w:r w:rsidRPr="0077427C">
        <w:rPr>
          <w:rFonts w:ascii="Times New Roman" w:hAnsi="Times New Roman"/>
          <w:sz w:val="26"/>
          <w:szCs w:val="26"/>
        </w:rPr>
        <w:t>In un documento trasmesso</w:t>
      </w:r>
      <w:r w:rsidR="00537CF8" w:rsidRPr="0077427C">
        <w:rPr>
          <w:rFonts w:ascii="Times New Roman" w:hAnsi="Times New Roman"/>
          <w:sz w:val="26"/>
          <w:szCs w:val="26"/>
        </w:rPr>
        <w:t xml:space="preserve"> in data </w:t>
      </w:r>
      <w:r w:rsidR="006D617F" w:rsidRPr="0077427C">
        <w:rPr>
          <w:rFonts w:ascii="Times New Roman" w:hAnsi="Times New Roman"/>
          <w:sz w:val="26"/>
          <w:szCs w:val="26"/>
        </w:rPr>
        <w:t>15 giugno 2023</w:t>
      </w:r>
      <w:r w:rsidRPr="0077427C">
        <w:rPr>
          <w:rFonts w:ascii="Times New Roman" w:hAnsi="Times New Roman"/>
          <w:sz w:val="26"/>
          <w:szCs w:val="26"/>
        </w:rPr>
        <w:t xml:space="preserve"> alla Commissione l’Agenzia delle entrate ha posto l’accento sul fenomeno delle frodi e</w:t>
      </w:r>
      <w:r w:rsidR="008476BE" w:rsidRPr="0077427C">
        <w:rPr>
          <w:rFonts w:ascii="Times New Roman" w:hAnsi="Times New Roman"/>
          <w:sz w:val="26"/>
          <w:szCs w:val="26"/>
        </w:rPr>
        <w:t xml:space="preserve"> sulle</w:t>
      </w:r>
      <w:r w:rsidRPr="0077427C">
        <w:rPr>
          <w:rFonts w:ascii="Times New Roman" w:hAnsi="Times New Roman"/>
          <w:sz w:val="26"/>
          <w:szCs w:val="26"/>
        </w:rPr>
        <w:t xml:space="preserve"> attività di contrasto e prevenzione, sottolineando come, all’interno degli imponenti volumi di cessioni e sconti in fattura, l’attività di analisi e controllo svolta dall’Agenzia delle entrate e le indagini della Guardia di finanza abbiano consentito di individuare numerosi casi di irregolarità e abusi.</w:t>
      </w:r>
    </w:p>
    <w:p w14:paraId="415936E3" w14:textId="77777777" w:rsidR="007D3F93" w:rsidRPr="0077427C" w:rsidRDefault="007D3F93" w:rsidP="007D3F93">
      <w:pPr>
        <w:spacing w:line="240" w:lineRule="auto"/>
        <w:ind w:right="113"/>
        <w:rPr>
          <w:rFonts w:ascii="Times New Roman" w:hAnsi="Times New Roman"/>
          <w:sz w:val="26"/>
          <w:szCs w:val="26"/>
        </w:rPr>
      </w:pPr>
      <w:r w:rsidRPr="0077427C">
        <w:rPr>
          <w:rFonts w:ascii="Times New Roman" w:hAnsi="Times New Roman"/>
          <w:sz w:val="26"/>
          <w:szCs w:val="26"/>
        </w:rPr>
        <w:t>Questi ultimi hanno riguardato la creazione di crediti d’imposta inesistenti per importi pari a diversi miliardi di euro che sono stati in parte ceduti presso intermediari finanziari o società di capitali. In alcuni casi, i proventi delle frodi sono stati trasferiti all’estero.</w:t>
      </w:r>
    </w:p>
    <w:p w14:paraId="169B8C31" w14:textId="77777777" w:rsidR="007D3F93" w:rsidRPr="0077427C" w:rsidRDefault="007D3F93" w:rsidP="007D3F93">
      <w:pPr>
        <w:spacing w:line="240" w:lineRule="auto"/>
        <w:ind w:right="113"/>
        <w:rPr>
          <w:rFonts w:ascii="Times New Roman" w:hAnsi="Times New Roman"/>
          <w:sz w:val="26"/>
          <w:szCs w:val="26"/>
        </w:rPr>
      </w:pPr>
      <w:r w:rsidRPr="0077427C">
        <w:rPr>
          <w:rFonts w:ascii="Times New Roman" w:hAnsi="Times New Roman"/>
          <w:sz w:val="26"/>
          <w:szCs w:val="26"/>
        </w:rPr>
        <w:t>L’Agenzia delle entrate sottolinea quindi che, al fine di monitorare il fenomeno, ha attivato un’apposita task-force in sinergia con la Guardia di finanza, attraverso la quale, ponendo l’attenzione sulle operazioni che presentavano indici di rischio significativi, è riuscita a intercettare numerose operazioni fraudolente, comunicando alle competenti autorità giudiziarie le ipotesi di reato riscontrate. L’Autorità giudiziaria ha successivamente sottoposto a sequestro i crediti ceduti nell’ambito delle frodi riscontrate, impedendo nella gran parte dei casi il loro utilizzo da parte dei soggetti cessionari, acquirenti dei relativi crediti.</w:t>
      </w:r>
    </w:p>
    <w:p w14:paraId="685DF297" w14:textId="77777777" w:rsidR="007D3F93" w:rsidRPr="0077427C" w:rsidRDefault="007D3F93" w:rsidP="007D3F93">
      <w:pPr>
        <w:spacing w:line="240" w:lineRule="auto"/>
        <w:ind w:right="113"/>
        <w:rPr>
          <w:rFonts w:ascii="Times New Roman" w:hAnsi="Times New Roman"/>
          <w:sz w:val="26"/>
          <w:szCs w:val="26"/>
        </w:rPr>
      </w:pPr>
      <w:r w:rsidRPr="0077427C">
        <w:rPr>
          <w:rFonts w:ascii="Times New Roman" w:hAnsi="Times New Roman"/>
          <w:sz w:val="26"/>
          <w:szCs w:val="26"/>
        </w:rPr>
        <w:t>L’Agenzia evidenzia come l’attività di analisi e controllo ha consentito all’Agenzia delle entrate e alla Guardia di finanza di individuare un ammontare complessivo di crediti d’imposta irregolari al 12 giugno 2023 pari a 12,17 miliardi di euro, di cui circa 7,4 miliardi oggetto di sequestro da parte dell’Autorità giudiziaria.</w:t>
      </w:r>
    </w:p>
    <w:p w14:paraId="77306CEF" w14:textId="77777777" w:rsidR="007D3F93" w:rsidRPr="0077427C" w:rsidRDefault="007D3F93" w:rsidP="007D3F93">
      <w:pPr>
        <w:spacing w:line="240" w:lineRule="auto"/>
        <w:ind w:right="113"/>
        <w:rPr>
          <w:rFonts w:ascii="Times New Roman" w:hAnsi="Times New Roman"/>
          <w:sz w:val="26"/>
          <w:szCs w:val="26"/>
        </w:rPr>
      </w:pPr>
      <w:r w:rsidRPr="0077427C">
        <w:rPr>
          <w:rFonts w:ascii="Times New Roman" w:hAnsi="Times New Roman"/>
          <w:sz w:val="26"/>
          <w:szCs w:val="26"/>
        </w:rPr>
        <w:t>I crediti irregolari sono imputabili al bonus facciate per il 58%, all’ecobonus ordinario nel 23% dei cas</w:t>
      </w:r>
      <w:r w:rsidR="00FB537D" w:rsidRPr="0077427C">
        <w:rPr>
          <w:rFonts w:ascii="Times New Roman" w:hAnsi="Times New Roman"/>
          <w:sz w:val="26"/>
          <w:szCs w:val="26"/>
        </w:rPr>
        <w:t xml:space="preserve">i, al </w:t>
      </w:r>
      <w:proofErr w:type="spellStart"/>
      <w:r w:rsidR="00FB537D" w:rsidRPr="0077427C">
        <w:rPr>
          <w:rFonts w:ascii="Times New Roman" w:hAnsi="Times New Roman"/>
          <w:sz w:val="26"/>
          <w:szCs w:val="26"/>
        </w:rPr>
        <w:t>sismabonus</w:t>
      </w:r>
      <w:proofErr w:type="spellEnd"/>
      <w:r w:rsidR="00FB537D" w:rsidRPr="0077427C">
        <w:rPr>
          <w:rFonts w:ascii="Times New Roman" w:hAnsi="Times New Roman"/>
          <w:sz w:val="26"/>
          <w:szCs w:val="26"/>
        </w:rPr>
        <w:t xml:space="preserve"> ordinario per </w:t>
      </w:r>
      <w:r w:rsidRPr="0077427C">
        <w:rPr>
          <w:rFonts w:ascii="Times New Roman" w:hAnsi="Times New Roman"/>
          <w:sz w:val="26"/>
          <w:szCs w:val="26"/>
        </w:rPr>
        <w:t>l’8%, al superbonus per il 5%, al bonus locazioni per il 5% e alle ristrutturazioni per l’1%.</w:t>
      </w:r>
    </w:p>
    <w:p w14:paraId="17D0041D" w14:textId="77777777" w:rsidR="00BB7B07" w:rsidRPr="0077427C" w:rsidRDefault="00BB7B07" w:rsidP="007D3F93">
      <w:pPr>
        <w:spacing w:line="240" w:lineRule="auto"/>
        <w:ind w:right="113"/>
        <w:rPr>
          <w:rFonts w:ascii="Times New Roman" w:hAnsi="Times New Roman"/>
          <w:b/>
          <w:sz w:val="26"/>
          <w:szCs w:val="26"/>
        </w:rPr>
      </w:pPr>
    </w:p>
    <w:p w14:paraId="223A869B" w14:textId="77777777" w:rsidR="00BB7B07" w:rsidRPr="0077427C" w:rsidRDefault="00BB7B07" w:rsidP="00BB7B07">
      <w:pPr>
        <w:spacing w:line="240" w:lineRule="auto"/>
        <w:ind w:right="113"/>
        <w:rPr>
          <w:rFonts w:ascii="Times New Roman" w:hAnsi="Times New Roman"/>
          <w:i/>
          <w:sz w:val="26"/>
          <w:szCs w:val="26"/>
        </w:rPr>
      </w:pPr>
      <w:r w:rsidRPr="0077427C">
        <w:rPr>
          <w:rFonts w:ascii="Times New Roman" w:hAnsi="Times New Roman"/>
          <w:b/>
          <w:sz w:val="26"/>
          <w:szCs w:val="26"/>
        </w:rPr>
        <w:t>ISTAT</w:t>
      </w:r>
      <w:r w:rsidRPr="0077427C">
        <w:rPr>
          <w:rFonts w:ascii="Times New Roman" w:hAnsi="Times New Roman"/>
          <w:i/>
          <w:sz w:val="26"/>
          <w:szCs w:val="26"/>
        </w:rPr>
        <w:t xml:space="preserve"> </w:t>
      </w:r>
    </w:p>
    <w:p w14:paraId="3A4AB962" w14:textId="77777777" w:rsidR="00BB7B07" w:rsidRPr="0077427C" w:rsidRDefault="00BB7B07" w:rsidP="00BB7B07">
      <w:pPr>
        <w:spacing w:line="240" w:lineRule="auto"/>
        <w:ind w:right="113"/>
        <w:rPr>
          <w:rFonts w:ascii="Times New Roman" w:hAnsi="Times New Roman"/>
          <w:sz w:val="26"/>
          <w:szCs w:val="26"/>
        </w:rPr>
      </w:pPr>
      <w:r w:rsidRPr="0077427C">
        <w:rPr>
          <w:rFonts w:ascii="Times New Roman" w:hAnsi="Times New Roman"/>
          <w:sz w:val="26"/>
          <w:szCs w:val="26"/>
        </w:rPr>
        <w:t xml:space="preserve">Nel documento trasmesso </w:t>
      </w:r>
      <w:r w:rsidR="00537CF8" w:rsidRPr="0077427C">
        <w:rPr>
          <w:rFonts w:ascii="Times New Roman" w:hAnsi="Times New Roman"/>
          <w:sz w:val="26"/>
          <w:szCs w:val="26"/>
        </w:rPr>
        <w:t xml:space="preserve">in data 25 settembre 2023 </w:t>
      </w:r>
      <w:r w:rsidRPr="0077427C">
        <w:rPr>
          <w:rFonts w:ascii="Times New Roman" w:hAnsi="Times New Roman"/>
          <w:sz w:val="26"/>
          <w:szCs w:val="26"/>
        </w:rPr>
        <w:t xml:space="preserve">dall’ISTAT si illustrano le attività in corso che, nel futuro, potranno fornire elementi di supporto all’analisi delle tematiche oggetto dell’indagine conoscitiva. L’ISTAT, al riguardo, sottolinea che intende avvalersi in modo sempre più incisivo del </w:t>
      </w:r>
      <w:r w:rsidRPr="0077427C">
        <w:rPr>
          <w:rFonts w:ascii="Times New Roman" w:hAnsi="Times New Roman"/>
          <w:i/>
          <w:iCs/>
          <w:sz w:val="26"/>
          <w:szCs w:val="26"/>
        </w:rPr>
        <w:t xml:space="preserve">Sistema Integrato dei Registri </w:t>
      </w:r>
      <w:r w:rsidRPr="0077427C">
        <w:rPr>
          <w:rFonts w:ascii="Times New Roman" w:hAnsi="Times New Roman"/>
          <w:sz w:val="26"/>
          <w:szCs w:val="26"/>
        </w:rPr>
        <w:t xml:space="preserve">e, in particolare, del </w:t>
      </w:r>
      <w:r w:rsidRPr="0077427C">
        <w:rPr>
          <w:rFonts w:ascii="Times New Roman" w:hAnsi="Times New Roman"/>
          <w:i/>
          <w:iCs/>
          <w:sz w:val="26"/>
          <w:szCs w:val="26"/>
        </w:rPr>
        <w:t xml:space="preserve">Registro Statistico di base dei Luoghi </w:t>
      </w:r>
      <w:r w:rsidRPr="0077427C">
        <w:rPr>
          <w:rFonts w:ascii="Times New Roman" w:hAnsi="Times New Roman"/>
          <w:sz w:val="26"/>
          <w:szCs w:val="26"/>
        </w:rPr>
        <w:t>(RSBL) che, indirettamente, potranno costituire la base per analisi di contesto relative all’impatto ambientale della pressione antropica sul territorio italiano.</w:t>
      </w:r>
    </w:p>
    <w:p w14:paraId="5FB6AC9B" w14:textId="77777777" w:rsidR="00537CF8" w:rsidRPr="0077427C" w:rsidRDefault="00BB7B07" w:rsidP="00BB7B07">
      <w:pPr>
        <w:spacing w:line="240" w:lineRule="auto"/>
        <w:ind w:right="113"/>
        <w:rPr>
          <w:rFonts w:ascii="Times New Roman" w:hAnsi="Times New Roman"/>
          <w:sz w:val="26"/>
          <w:szCs w:val="26"/>
        </w:rPr>
      </w:pPr>
      <w:r w:rsidRPr="0077427C">
        <w:rPr>
          <w:rFonts w:ascii="Times New Roman" w:hAnsi="Times New Roman"/>
          <w:sz w:val="26"/>
          <w:szCs w:val="26"/>
        </w:rPr>
        <w:t xml:space="preserve">All’interno di RSBL è presente, in particolare, il Registro degli edifici e delle unità abitative, che ha contribuito a costruire la base statistica informativa necessaria per le finalità censuarie secondo quanto previsto dal regolamento quadro Eurostat 763/2008. Questa componente mira a garantire informazioni di stock sull’insieme del patrimonio immobiliare italiano e, solo per gli edifici residenziali, altre caratteristiche costruttive e strutturali. </w:t>
      </w:r>
    </w:p>
    <w:p w14:paraId="7E08A580" w14:textId="77777777" w:rsidR="00BB7B07" w:rsidRPr="0077427C" w:rsidRDefault="00BB7B07" w:rsidP="00BB7B07">
      <w:pPr>
        <w:spacing w:line="240" w:lineRule="auto"/>
        <w:ind w:right="113"/>
        <w:rPr>
          <w:rFonts w:ascii="Times New Roman" w:hAnsi="Times New Roman"/>
          <w:sz w:val="26"/>
          <w:szCs w:val="26"/>
        </w:rPr>
      </w:pPr>
      <w:r w:rsidRPr="0077427C">
        <w:rPr>
          <w:rFonts w:ascii="Times New Roman" w:hAnsi="Times New Roman"/>
          <w:sz w:val="26"/>
          <w:szCs w:val="26"/>
        </w:rPr>
        <w:t xml:space="preserve">L’ISTAT segnala che in futuro il consolidamento di tutte le componenti del RSBL potrà essere di supporto per analisi che facciano riferimento ad una rappresentazione statistica dell’infrastruttura immobiliare, sociale ed economica del Paese. Tali informazioni potranno essere utili anche in occasione e in seguito ad eventi calamitosi di varia natura, per effettuare analisi statistiche utili a fini di prevenzione, o anche come strumenti per la definizione e valutazione delle </w:t>
      </w:r>
      <w:r w:rsidRPr="0077427C">
        <w:rPr>
          <w:rFonts w:ascii="Times New Roman" w:hAnsi="Times New Roman"/>
          <w:i/>
          <w:sz w:val="26"/>
          <w:szCs w:val="26"/>
        </w:rPr>
        <w:t>policy</w:t>
      </w:r>
      <w:r w:rsidRPr="0077427C">
        <w:rPr>
          <w:rFonts w:ascii="Times New Roman" w:hAnsi="Times New Roman"/>
          <w:sz w:val="26"/>
          <w:szCs w:val="26"/>
        </w:rPr>
        <w:t xml:space="preserve">. È auspicabile ipotizzare che, a valle del consolidamento delle diverse componenti del Registro dei luoghi, si potenzieranno anche le analisi relative all’impatto ambientale. </w:t>
      </w:r>
    </w:p>
    <w:p w14:paraId="2CC20E9F" w14:textId="77777777" w:rsidR="00BB7B07" w:rsidRPr="0077427C" w:rsidRDefault="00BB7B07" w:rsidP="00BB7B07">
      <w:pPr>
        <w:spacing w:line="240" w:lineRule="auto"/>
        <w:ind w:right="113"/>
        <w:rPr>
          <w:rFonts w:ascii="Times New Roman" w:hAnsi="Times New Roman"/>
          <w:sz w:val="26"/>
          <w:szCs w:val="26"/>
        </w:rPr>
      </w:pPr>
      <w:r w:rsidRPr="0077427C">
        <w:rPr>
          <w:rFonts w:ascii="Times New Roman" w:hAnsi="Times New Roman"/>
          <w:sz w:val="26"/>
          <w:szCs w:val="26"/>
        </w:rPr>
        <w:t>La prossima indagine sui consumi energetici, avente come periodo di riferimento il biennio 2023-2024, è in fase di progettazione ed implementazione. All’interno del questionario sarà presente un quesito relativo al tema degli incentivi, sugli investimenti in efficienza energetica condotti dalle famiglie nella propria abitazione per ridurre le spese per energia elettrica, il riscaldamento domestico o quello dell’acqua (nel 2021, il 75,4% delle famiglie ha dichiarato di aver fatto almeno un intervento di questo tipo nei cinque anni precedenti).</w:t>
      </w:r>
    </w:p>
    <w:p w14:paraId="2BB7ABA0" w14:textId="77777777" w:rsidR="00BB7B07" w:rsidRPr="0077427C" w:rsidRDefault="00BB7B07" w:rsidP="00BB7B07">
      <w:pPr>
        <w:spacing w:line="240" w:lineRule="auto"/>
        <w:ind w:right="113"/>
        <w:rPr>
          <w:rFonts w:ascii="Times New Roman" w:hAnsi="Times New Roman"/>
          <w:sz w:val="26"/>
          <w:szCs w:val="26"/>
        </w:rPr>
      </w:pPr>
    </w:p>
    <w:p w14:paraId="403FE600" w14:textId="77777777" w:rsidR="00BB7B07" w:rsidRPr="0077427C" w:rsidRDefault="0077704F" w:rsidP="00BB7B07">
      <w:pPr>
        <w:spacing w:line="240" w:lineRule="auto"/>
        <w:ind w:right="113"/>
        <w:rPr>
          <w:rFonts w:ascii="Times New Roman" w:hAnsi="Times New Roman"/>
          <w:b/>
          <w:sz w:val="26"/>
          <w:szCs w:val="26"/>
        </w:rPr>
      </w:pPr>
      <w:r w:rsidRPr="0077427C">
        <w:rPr>
          <w:rFonts w:ascii="Times New Roman" w:hAnsi="Times New Roman"/>
          <w:b/>
          <w:sz w:val="26"/>
          <w:szCs w:val="26"/>
        </w:rPr>
        <w:t xml:space="preserve">ENEL </w:t>
      </w:r>
    </w:p>
    <w:p w14:paraId="6E6775C6" w14:textId="77777777" w:rsidR="00537CF8" w:rsidRPr="0077427C" w:rsidRDefault="00BB7B07" w:rsidP="00537CF8">
      <w:pPr>
        <w:spacing w:line="240" w:lineRule="auto"/>
        <w:ind w:right="113"/>
        <w:rPr>
          <w:rFonts w:ascii="Times New Roman" w:hAnsi="Times New Roman"/>
          <w:sz w:val="26"/>
          <w:szCs w:val="26"/>
        </w:rPr>
      </w:pPr>
      <w:r w:rsidRPr="0077427C">
        <w:rPr>
          <w:rFonts w:ascii="Times New Roman" w:hAnsi="Times New Roman"/>
          <w:sz w:val="26"/>
          <w:szCs w:val="26"/>
        </w:rPr>
        <w:t xml:space="preserve">Nel documento trasmesso </w:t>
      </w:r>
      <w:r w:rsidR="00537CF8" w:rsidRPr="0077427C">
        <w:rPr>
          <w:rFonts w:ascii="Times New Roman" w:hAnsi="Times New Roman"/>
          <w:sz w:val="26"/>
          <w:szCs w:val="26"/>
        </w:rPr>
        <w:t xml:space="preserve">in data 7 giugno 2023 </w:t>
      </w:r>
      <w:r w:rsidRPr="0077427C">
        <w:rPr>
          <w:rFonts w:ascii="Times New Roman" w:hAnsi="Times New Roman"/>
          <w:sz w:val="26"/>
          <w:szCs w:val="26"/>
        </w:rPr>
        <w:t>dall’ENEL</w:t>
      </w:r>
      <w:r w:rsidR="00537CF8" w:rsidRPr="0077427C">
        <w:rPr>
          <w:rFonts w:ascii="Times New Roman" w:hAnsi="Times New Roman"/>
          <w:sz w:val="26"/>
          <w:szCs w:val="26"/>
        </w:rPr>
        <w:t xml:space="preserve">, si segnala che, a tale data, sono stati riqualificati con il coinvolgimento di Enel X circa 9,3 milioni di mq di superficie abitativa (superfice media di 117mq - fonte ISTAT), che ha determinato un risparmio stimato in circa 0,02 milioni di tonnellate di CO2. </w:t>
      </w:r>
    </w:p>
    <w:p w14:paraId="121E1CBA" w14:textId="77777777" w:rsidR="00BB7B07" w:rsidRPr="0077427C" w:rsidRDefault="00537CF8" w:rsidP="00537CF8">
      <w:pPr>
        <w:spacing w:line="240" w:lineRule="auto"/>
        <w:ind w:right="113"/>
        <w:rPr>
          <w:rFonts w:ascii="Times New Roman" w:hAnsi="Times New Roman"/>
          <w:sz w:val="26"/>
          <w:szCs w:val="26"/>
        </w:rPr>
      </w:pPr>
      <w:r w:rsidRPr="0077427C">
        <w:rPr>
          <w:rFonts w:ascii="Times New Roman" w:hAnsi="Times New Roman"/>
          <w:sz w:val="26"/>
          <w:szCs w:val="26"/>
        </w:rPr>
        <w:t>Circa il 2% del totale degli interventi che hanno visto il coinvolgimento di Enel X ha determinato il miglioramento della classe sismica degli edifici interessati, circa 1500 unità abitative</w:t>
      </w:r>
      <w:r w:rsidR="00BB7B07" w:rsidRPr="0077427C">
        <w:rPr>
          <w:rFonts w:ascii="Times New Roman" w:hAnsi="Times New Roman"/>
          <w:sz w:val="26"/>
          <w:szCs w:val="26"/>
        </w:rPr>
        <w:t>.</w:t>
      </w:r>
    </w:p>
    <w:p w14:paraId="2840BF59" w14:textId="77777777" w:rsidR="00BB7B07" w:rsidRPr="0077427C" w:rsidRDefault="00BB7B07" w:rsidP="00BB7B07">
      <w:pPr>
        <w:spacing w:line="240" w:lineRule="auto"/>
        <w:ind w:right="113"/>
        <w:rPr>
          <w:rFonts w:ascii="Times New Roman" w:hAnsi="Times New Roman"/>
          <w:color w:val="44546A" w:themeColor="text2"/>
          <w:sz w:val="26"/>
          <w:szCs w:val="26"/>
        </w:rPr>
      </w:pPr>
    </w:p>
    <w:p w14:paraId="56F98083" w14:textId="77777777" w:rsidR="00BB7B07" w:rsidRPr="0077427C" w:rsidRDefault="00BB7B07" w:rsidP="00BB7B07">
      <w:pPr>
        <w:spacing w:line="240" w:lineRule="auto"/>
        <w:ind w:right="113"/>
        <w:rPr>
          <w:rFonts w:ascii="Times New Roman" w:hAnsi="Times New Roman"/>
          <w:i/>
          <w:sz w:val="26"/>
          <w:szCs w:val="26"/>
        </w:rPr>
      </w:pPr>
      <w:r w:rsidRPr="0077427C">
        <w:rPr>
          <w:rFonts w:ascii="Times New Roman" w:hAnsi="Times New Roman"/>
          <w:b/>
          <w:sz w:val="26"/>
          <w:szCs w:val="26"/>
        </w:rPr>
        <w:t>ENI</w:t>
      </w:r>
    </w:p>
    <w:p w14:paraId="3CC410DC" w14:textId="77777777" w:rsidR="00BB7B07" w:rsidRPr="0077427C" w:rsidRDefault="00BB7B07" w:rsidP="00BB7B07">
      <w:pPr>
        <w:spacing w:line="240" w:lineRule="auto"/>
        <w:ind w:right="113"/>
        <w:rPr>
          <w:rFonts w:ascii="Times New Roman" w:hAnsi="Times New Roman"/>
          <w:sz w:val="26"/>
          <w:szCs w:val="26"/>
        </w:rPr>
      </w:pPr>
      <w:r w:rsidRPr="0077427C">
        <w:rPr>
          <w:rFonts w:ascii="Times New Roman" w:hAnsi="Times New Roman"/>
          <w:sz w:val="26"/>
          <w:szCs w:val="26"/>
        </w:rPr>
        <w:t xml:space="preserve">Nel documento trasmesso </w:t>
      </w:r>
      <w:r w:rsidR="00CD7280" w:rsidRPr="0077427C">
        <w:rPr>
          <w:rFonts w:ascii="Times New Roman" w:hAnsi="Times New Roman"/>
          <w:sz w:val="26"/>
          <w:szCs w:val="26"/>
        </w:rPr>
        <w:t xml:space="preserve">in data </w:t>
      </w:r>
      <w:r w:rsidR="00E51446" w:rsidRPr="0077427C">
        <w:rPr>
          <w:rFonts w:ascii="Times New Roman" w:hAnsi="Times New Roman"/>
          <w:sz w:val="26"/>
          <w:szCs w:val="26"/>
        </w:rPr>
        <w:t xml:space="preserve">19 giugno 2023 </w:t>
      </w:r>
      <w:r w:rsidRPr="0077427C">
        <w:rPr>
          <w:rFonts w:ascii="Times New Roman" w:hAnsi="Times New Roman"/>
          <w:sz w:val="26"/>
          <w:szCs w:val="26"/>
        </w:rPr>
        <w:t xml:space="preserve">alla Commissione l'ENI evidenzia la necessità di continuare </w:t>
      </w:r>
      <w:proofErr w:type="gramStart"/>
      <w:r w:rsidRPr="0077427C">
        <w:rPr>
          <w:rFonts w:ascii="Times New Roman" w:hAnsi="Times New Roman"/>
          <w:sz w:val="26"/>
          <w:szCs w:val="26"/>
        </w:rPr>
        <w:t>a</w:t>
      </w:r>
      <w:r w:rsidR="005F4FFE" w:rsidRPr="0077427C">
        <w:rPr>
          <w:rFonts w:ascii="Times New Roman" w:hAnsi="Times New Roman"/>
          <w:sz w:val="26"/>
          <w:szCs w:val="26"/>
        </w:rPr>
        <w:t>d</w:t>
      </w:r>
      <w:proofErr w:type="gramEnd"/>
      <w:r w:rsidRPr="0077427C">
        <w:rPr>
          <w:rFonts w:ascii="Times New Roman" w:hAnsi="Times New Roman"/>
          <w:sz w:val="26"/>
          <w:szCs w:val="26"/>
        </w:rPr>
        <w:t xml:space="preserve"> adottare una solida programmazione per rendere le azioni di promozione dell’efficienza energetica nel settore residenziale efficaci e coerenti con gli obiettivi complessivi (ad esempio in termini di sinergie con la diffusione della generazione elettrica distribuita), garantendo al contempo l’efficienza economica degli strumenti individuati. Tra gli strumenti utilizzabili, secondo l'ENI, vi sono non solo meccanismi di supporto diretto ma anche la diffusione di strumenti finanziari volti ad agevolare gli investimenti iniziali di riqualificazione profonda. </w:t>
      </w:r>
    </w:p>
    <w:p w14:paraId="48C797A5" w14:textId="77777777" w:rsidR="00BB7B07" w:rsidRPr="0077427C" w:rsidRDefault="00BB7B07" w:rsidP="00BB7B07">
      <w:pPr>
        <w:spacing w:line="240" w:lineRule="auto"/>
        <w:ind w:right="113"/>
        <w:rPr>
          <w:rFonts w:ascii="Times New Roman" w:hAnsi="Times New Roman"/>
          <w:sz w:val="26"/>
          <w:szCs w:val="26"/>
        </w:rPr>
      </w:pPr>
      <w:r w:rsidRPr="0077427C">
        <w:rPr>
          <w:rFonts w:ascii="Times New Roman" w:hAnsi="Times New Roman"/>
          <w:sz w:val="26"/>
          <w:szCs w:val="26"/>
        </w:rPr>
        <w:t>L'ENI inoltre sottolinea che, in linea generale, l’attuale sistema di incentivi, oggetto negli anni di continue modifiche normative, necessita di un riordino che non pregiudichi il patrimonio di competenze che le imprese hanno acquisito nel campo dell’efficientamento energetico e, al contempo, agevoli il consumatore nel continuare a investire in interventi di riqualificazione energetica e/o sismica delle abitazioni. È inoltre cruciale, secondo l'ENI, che tale riordino delle politiche attive di incentivazione tenga in conto l’efficienza complessiva della spesa.</w:t>
      </w:r>
    </w:p>
    <w:p w14:paraId="2C1178F9" w14:textId="77777777" w:rsidR="00BB7B07" w:rsidRPr="0077427C" w:rsidRDefault="00BB7B07" w:rsidP="00BB7B07">
      <w:pPr>
        <w:spacing w:line="240" w:lineRule="auto"/>
        <w:ind w:right="113"/>
        <w:rPr>
          <w:rFonts w:ascii="Times New Roman" w:hAnsi="Times New Roman"/>
          <w:sz w:val="26"/>
          <w:szCs w:val="26"/>
        </w:rPr>
      </w:pPr>
      <w:r w:rsidRPr="0077427C">
        <w:rPr>
          <w:rFonts w:ascii="Times New Roman" w:hAnsi="Times New Roman"/>
          <w:sz w:val="26"/>
          <w:szCs w:val="26"/>
        </w:rPr>
        <w:t>L'ENI avanza poi una serie di proposte, quali:</w:t>
      </w:r>
    </w:p>
    <w:p w14:paraId="355AAEBE" w14:textId="77777777" w:rsidR="00BB7B07" w:rsidRPr="0077427C" w:rsidRDefault="00BB7B07" w:rsidP="00BB7B07">
      <w:pPr>
        <w:spacing w:line="240" w:lineRule="auto"/>
        <w:ind w:right="113"/>
        <w:rPr>
          <w:rFonts w:ascii="Times New Roman" w:hAnsi="Times New Roman"/>
          <w:sz w:val="26"/>
          <w:szCs w:val="26"/>
        </w:rPr>
      </w:pPr>
      <w:r w:rsidRPr="0077427C">
        <w:rPr>
          <w:rFonts w:ascii="Times New Roman" w:hAnsi="Times New Roman"/>
          <w:sz w:val="26"/>
          <w:szCs w:val="26"/>
        </w:rPr>
        <w:t xml:space="preserve">- l'introduzione di un bonus energetico per alcuni interventi facilmente standardizzabili (es. sistemi HVAC - </w:t>
      </w:r>
      <w:proofErr w:type="spellStart"/>
      <w:r w:rsidRPr="0077427C">
        <w:rPr>
          <w:rFonts w:ascii="Times New Roman" w:hAnsi="Times New Roman"/>
          <w:i/>
          <w:sz w:val="26"/>
          <w:szCs w:val="26"/>
        </w:rPr>
        <w:t>Heating</w:t>
      </w:r>
      <w:proofErr w:type="spellEnd"/>
      <w:r w:rsidRPr="0077427C">
        <w:rPr>
          <w:rFonts w:ascii="Times New Roman" w:hAnsi="Times New Roman"/>
          <w:i/>
          <w:sz w:val="26"/>
          <w:szCs w:val="26"/>
        </w:rPr>
        <w:t xml:space="preserve"> </w:t>
      </w:r>
      <w:proofErr w:type="spellStart"/>
      <w:r w:rsidRPr="0077427C">
        <w:rPr>
          <w:rFonts w:ascii="Times New Roman" w:hAnsi="Times New Roman"/>
          <w:i/>
          <w:sz w:val="26"/>
          <w:szCs w:val="26"/>
        </w:rPr>
        <w:t>Ventilation</w:t>
      </w:r>
      <w:proofErr w:type="spellEnd"/>
      <w:r w:rsidRPr="0077427C">
        <w:rPr>
          <w:rFonts w:ascii="Times New Roman" w:hAnsi="Times New Roman"/>
          <w:i/>
          <w:sz w:val="26"/>
          <w:szCs w:val="26"/>
        </w:rPr>
        <w:t xml:space="preserve"> and Air </w:t>
      </w:r>
      <w:proofErr w:type="spellStart"/>
      <w:r w:rsidRPr="0077427C">
        <w:rPr>
          <w:rFonts w:ascii="Times New Roman" w:hAnsi="Times New Roman"/>
          <w:i/>
          <w:sz w:val="26"/>
          <w:szCs w:val="26"/>
        </w:rPr>
        <w:t>Conditioning</w:t>
      </w:r>
      <w:proofErr w:type="spellEnd"/>
      <w:r w:rsidRPr="0077427C">
        <w:rPr>
          <w:rFonts w:ascii="Times New Roman" w:hAnsi="Times New Roman"/>
          <w:sz w:val="26"/>
          <w:szCs w:val="26"/>
        </w:rPr>
        <w:t xml:space="preserve"> - impianti fotovoltaici di piccola taglia, serramenti, </w:t>
      </w:r>
      <w:proofErr w:type="spellStart"/>
      <w:r w:rsidRPr="0077427C">
        <w:rPr>
          <w:rFonts w:ascii="Times New Roman" w:hAnsi="Times New Roman"/>
          <w:i/>
          <w:sz w:val="26"/>
          <w:szCs w:val="26"/>
        </w:rPr>
        <w:t>wall</w:t>
      </w:r>
      <w:proofErr w:type="spellEnd"/>
      <w:r w:rsidRPr="0077427C">
        <w:rPr>
          <w:rFonts w:ascii="Times New Roman" w:hAnsi="Times New Roman"/>
          <w:i/>
          <w:sz w:val="26"/>
          <w:szCs w:val="26"/>
        </w:rPr>
        <w:t>-box</w:t>
      </w:r>
      <w:r w:rsidRPr="0077427C">
        <w:rPr>
          <w:rFonts w:ascii="Times New Roman" w:hAnsi="Times New Roman"/>
          <w:sz w:val="26"/>
          <w:szCs w:val="26"/>
        </w:rPr>
        <w:t xml:space="preserve"> per la ricarica di veicoli elettrici);</w:t>
      </w:r>
    </w:p>
    <w:p w14:paraId="72EE7108" w14:textId="77777777" w:rsidR="00BB7B07" w:rsidRPr="0077427C" w:rsidRDefault="00BB7B07" w:rsidP="00BB7B07">
      <w:pPr>
        <w:spacing w:line="240" w:lineRule="auto"/>
        <w:ind w:right="113"/>
        <w:rPr>
          <w:rFonts w:ascii="Times New Roman" w:hAnsi="Times New Roman"/>
          <w:sz w:val="26"/>
          <w:szCs w:val="26"/>
        </w:rPr>
      </w:pPr>
      <w:r w:rsidRPr="0077427C">
        <w:rPr>
          <w:rFonts w:ascii="Times New Roman" w:hAnsi="Times New Roman"/>
          <w:sz w:val="26"/>
          <w:szCs w:val="26"/>
        </w:rPr>
        <w:t>- la previsione di meccanismi di incentivazione diretta da sottoporre a specifici controlli sull’effettivo miglioramento in termini di efficienza energetica e/o classe sismica e da declinare opportunamente in relazione ad alcuni parametri quali, ad esempio, la classe energetica di partenza o la condizione di vulnerabilità del cliente;</w:t>
      </w:r>
    </w:p>
    <w:p w14:paraId="40734115" w14:textId="77777777" w:rsidR="00BB7B07" w:rsidRPr="0077427C" w:rsidRDefault="00BB7B07" w:rsidP="00BB7B07">
      <w:pPr>
        <w:spacing w:line="240" w:lineRule="auto"/>
        <w:ind w:right="113"/>
        <w:rPr>
          <w:rFonts w:ascii="Times New Roman" w:hAnsi="Times New Roman"/>
          <w:sz w:val="26"/>
          <w:szCs w:val="26"/>
        </w:rPr>
      </w:pPr>
      <w:r w:rsidRPr="0077427C">
        <w:rPr>
          <w:rFonts w:ascii="Times New Roman" w:hAnsi="Times New Roman"/>
          <w:sz w:val="26"/>
          <w:szCs w:val="26"/>
        </w:rPr>
        <w:t>- la razionalizzazione del sistema di incentivazione (che oggi riflette un contesto non più attuale rispetto agli obiettivi di decarbonizzazione europei dato che prevede percentuali di incentivo più alte per la sostituzione di caldaie rispetto all’installazione di pannelli fotovoltaici), al fine di favorire la diffusione della generazione distribuita e con l’obiettivo di ridurre i consumi energetici, e rappresentare un volano per nuove configurazioni di autoconsumo collettivo, quali le comunità energetiche.</w:t>
      </w:r>
    </w:p>
    <w:p w14:paraId="2094A22A" w14:textId="77777777" w:rsidR="00BB7B07" w:rsidRPr="0077427C" w:rsidRDefault="00BB7B07" w:rsidP="00BB7B07">
      <w:pPr>
        <w:spacing w:line="240" w:lineRule="auto"/>
        <w:ind w:right="113"/>
        <w:rPr>
          <w:rFonts w:ascii="Times New Roman" w:hAnsi="Times New Roman"/>
          <w:sz w:val="26"/>
          <w:szCs w:val="26"/>
        </w:rPr>
      </w:pPr>
      <w:r w:rsidRPr="0077427C">
        <w:rPr>
          <w:rFonts w:ascii="Times New Roman" w:hAnsi="Times New Roman"/>
          <w:sz w:val="26"/>
          <w:szCs w:val="26"/>
        </w:rPr>
        <w:t>Nell’ambito di questa revisione, l'ENI suggerisce di valutare l’utilizzo dello strumento della cessione del credito/sconto in fattura per determinati ambiti, in particolare per condomini e IACP dove non è facile individuare soluzioni standard e i tempi di autorizzazione degli interventi sono spesso lunghi e laboriosi.</w:t>
      </w:r>
    </w:p>
    <w:p w14:paraId="011DEF71" w14:textId="77777777" w:rsidR="00BB7B07" w:rsidRPr="0077427C" w:rsidRDefault="00BB7B07" w:rsidP="007D3F93">
      <w:pPr>
        <w:spacing w:line="240" w:lineRule="auto"/>
        <w:ind w:right="113"/>
        <w:rPr>
          <w:rFonts w:ascii="Times New Roman" w:hAnsi="Times New Roman"/>
          <w:color w:val="44546A" w:themeColor="text2"/>
          <w:sz w:val="26"/>
          <w:szCs w:val="26"/>
        </w:rPr>
      </w:pPr>
    </w:p>
    <w:p w14:paraId="58AE4CF7" w14:textId="77777777" w:rsidR="00EC462E" w:rsidRPr="0077427C" w:rsidRDefault="00EC462E">
      <w:pPr>
        <w:spacing w:after="160" w:line="259" w:lineRule="auto"/>
        <w:ind w:firstLine="0"/>
        <w:jc w:val="left"/>
        <w:rPr>
          <w:rFonts w:ascii="Times New Roman" w:hAnsi="Times New Roman"/>
          <w:b/>
          <w:sz w:val="26"/>
          <w:szCs w:val="26"/>
        </w:rPr>
      </w:pPr>
      <w:r w:rsidRPr="0077427C">
        <w:rPr>
          <w:rFonts w:ascii="Times New Roman" w:hAnsi="Times New Roman"/>
          <w:b/>
          <w:sz w:val="26"/>
          <w:szCs w:val="26"/>
        </w:rPr>
        <w:br w:type="page"/>
      </w:r>
    </w:p>
    <w:p w14:paraId="15A0666B" w14:textId="2C252883" w:rsidR="00EC462E" w:rsidRPr="0077427C" w:rsidRDefault="001C548C" w:rsidP="00102E5B">
      <w:pPr>
        <w:pStyle w:val="Titolo1"/>
        <w:jc w:val="both"/>
      </w:pPr>
      <w:bookmarkStart w:id="12" w:name="_Toc190697365"/>
      <w:r w:rsidRPr="0077427C">
        <w:t>4. Considerazioni conclusive</w:t>
      </w:r>
      <w:bookmarkEnd w:id="12"/>
      <w:r w:rsidRPr="0077427C">
        <w:t xml:space="preserve"> </w:t>
      </w:r>
      <w:r w:rsidR="00EC462E" w:rsidRPr="0077427C">
        <w:t xml:space="preserve"> </w:t>
      </w:r>
    </w:p>
    <w:p w14:paraId="4585DA75" w14:textId="77777777" w:rsidR="00EC462E" w:rsidRPr="0077427C" w:rsidRDefault="00EC462E" w:rsidP="00EC462E">
      <w:pPr>
        <w:rPr>
          <w:rFonts w:ascii="Times New Roman" w:hAnsi="Times New Roman"/>
          <w:sz w:val="26"/>
          <w:szCs w:val="26"/>
        </w:rPr>
      </w:pPr>
      <w:r w:rsidRPr="0077427C">
        <w:rPr>
          <w:rFonts w:ascii="Times New Roman" w:hAnsi="Times New Roman"/>
          <w:sz w:val="26"/>
          <w:szCs w:val="26"/>
        </w:rPr>
        <w:tab/>
        <w:t xml:space="preserve">L’indagine condotta dalla Commissione ha consentito di affrontare numerose tematiche riguardanti il complessivo sistema degli incentivi in materia edilizia e l’esigenza di un loro riordino alla luce della valutazione dell’impatto ambientale e delle criticità emerse. </w:t>
      </w:r>
    </w:p>
    <w:p w14:paraId="3B1A8E33" w14:textId="77777777" w:rsidR="00EC462E" w:rsidRPr="0077427C" w:rsidRDefault="00EC462E" w:rsidP="00EC462E">
      <w:pPr>
        <w:rPr>
          <w:rFonts w:ascii="Times New Roman" w:hAnsi="Times New Roman"/>
          <w:bCs/>
          <w:sz w:val="26"/>
          <w:szCs w:val="26"/>
        </w:rPr>
      </w:pPr>
      <w:r w:rsidRPr="0077427C">
        <w:rPr>
          <w:rFonts w:ascii="Times New Roman" w:hAnsi="Times New Roman"/>
          <w:sz w:val="26"/>
          <w:szCs w:val="26"/>
        </w:rPr>
        <w:tab/>
        <w:t xml:space="preserve">L’indagine evidenzia, in primo luogo, l’importanza del miglioramento dell’efficienza energetica degli edifici quale strumento per raggiungere gli obiettivi energetici e di riduzione delle emissioni fissati a livello europeo e nazionale, tenuto conto della rilevante quota di emissioni prodotta dal </w:t>
      </w:r>
      <w:r w:rsidRPr="0077427C">
        <w:rPr>
          <w:rFonts w:ascii="Times New Roman" w:hAnsi="Times New Roman"/>
          <w:bCs/>
          <w:sz w:val="26"/>
          <w:szCs w:val="26"/>
        </w:rPr>
        <w:t xml:space="preserve">settore edilizio, nel suo complesso (residenziale e terziario), a motivo della vetustà del patrimonio immobiliare nazionale, </w:t>
      </w:r>
      <w:r w:rsidRPr="0077427C">
        <w:rPr>
          <w:rFonts w:ascii="Times New Roman" w:hAnsi="Times New Roman"/>
          <w:sz w:val="26"/>
          <w:szCs w:val="26"/>
        </w:rPr>
        <w:t>in larga parte antecedente al 1976, e del</w:t>
      </w:r>
      <w:r w:rsidRPr="0077427C">
        <w:rPr>
          <w:rFonts w:ascii="Times New Roman" w:hAnsi="Times New Roman"/>
          <w:bCs/>
          <w:sz w:val="26"/>
          <w:szCs w:val="26"/>
        </w:rPr>
        <w:t xml:space="preserve"> funzionamento degli edifici con particolare riguardo ai sistemi di riscaldamento. </w:t>
      </w:r>
    </w:p>
    <w:p w14:paraId="04CE1040" w14:textId="1972BE0E" w:rsidR="00EC462E" w:rsidRPr="0077427C" w:rsidRDefault="00EC462E" w:rsidP="00EC462E">
      <w:pPr>
        <w:ind w:firstLine="708"/>
        <w:rPr>
          <w:rFonts w:ascii="Times New Roman" w:hAnsi="Times New Roman"/>
          <w:bCs/>
          <w:sz w:val="26"/>
          <w:szCs w:val="26"/>
        </w:rPr>
      </w:pPr>
      <w:r w:rsidRPr="0077427C">
        <w:rPr>
          <w:rFonts w:ascii="Times New Roman" w:hAnsi="Times New Roman"/>
          <w:bCs/>
          <w:sz w:val="26"/>
          <w:szCs w:val="26"/>
        </w:rPr>
        <w:t xml:space="preserve">Si consideri che, secondo i dati contenuti nell’inventario nazionale delle emissioni, le emissioni di gas serra del settore civile nel 2021 sono state pari a circa 83 milioni di tonnellate di CO2 equivalente, di cui circa 75 provenienti dai consumi energetici degli edifici, a fronte di un totale nazionale di 418 milioni di tonnellate di CO2 equivalente; a livello percentuale, la quota del residenziale risulta preponderante, essendo superiore al 60% del settore civile. </w:t>
      </w:r>
      <w:r w:rsidR="00240486" w:rsidRPr="0077427C">
        <w:rPr>
          <w:rFonts w:ascii="Times New Roman" w:hAnsi="Times New Roman"/>
          <w:bCs/>
          <w:sz w:val="26"/>
          <w:szCs w:val="26"/>
        </w:rPr>
        <w:t xml:space="preserve">I </w:t>
      </w:r>
      <w:r w:rsidR="00F33C33" w:rsidRPr="0077427C">
        <w:rPr>
          <w:rFonts w:ascii="Times New Roman" w:hAnsi="Times New Roman"/>
          <w:bCs/>
          <w:sz w:val="26"/>
          <w:szCs w:val="26"/>
        </w:rPr>
        <w:t xml:space="preserve">dati dell'inventario delle emissioni per l'anno 2023, ancora preliminari ma in via di consolidamento, mostrano che per il 2023 a fronte di emissioni nazionali pari a circa 385 Mt CO2eq di gas serra, il settore civile ha contribuito per circa 69 Mt CO2eq. </w:t>
      </w:r>
      <w:proofErr w:type="gramStart"/>
      <w:r w:rsidR="00F33C33" w:rsidRPr="0077427C">
        <w:rPr>
          <w:rFonts w:ascii="Times New Roman" w:hAnsi="Times New Roman"/>
          <w:bCs/>
          <w:sz w:val="26"/>
          <w:szCs w:val="26"/>
        </w:rPr>
        <w:t>In particolare</w:t>
      </w:r>
      <w:proofErr w:type="gramEnd"/>
      <w:r w:rsidR="00F33C33" w:rsidRPr="0077427C">
        <w:rPr>
          <w:rFonts w:ascii="Times New Roman" w:hAnsi="Times New Roman"/>
          <w:bCs/>
          <w:sz w:val="26"/>
          <w:szCs w:val="26"/>
        </w:rPr>
        <w:t xml:space="preserve"> le emissioni generate dal riscaldamento degli edifici residenziali sono risultate pari a circa 40 MtCO2eq, in marcata riduzione rispetto agli anni precedenti, come riscontrato in tutta Europa, a causa sia delle condizioni metereologiche particolarmente miti, sia del sensibile aumento dei prezzi dell'energia</w:t>
      </w:r>
      <w:r w:rsidR="00A11338" w:rsidRPr="0077427C">
        <w:rPr>
          <w:rFonts w:ascii="Times New Roman" w:hAnsi="Times New Roman"/>
          <w:bCs/>
          <w:sz w:val="26"/>
          <w:szCs w:val="26"/>
        </w:rPr>
        <w:t>.</w:t>
      </w:r>
    </w:p>
    <w:p w14:paraId="705212EE" w14:textId="77777777" w:rsidR="00EC462E" w:rsidRPr="0077427C" w:rsidRDefault="00EC462E" w:rsidP="00EC462E">
      <w:pPr>
        <w:ind w:firstLine="708"/>
        <w:rPr>
          <w:rFonts w:ascii="Times New Roman" w:hAnsi="Times New Roman"/>
          <w:bCs/>
          <w:sz w:val="26"/>
          <w:szCs w:val="26"/>
        </w:rPr>
      </w:pPr>
      <w:r w:rsidRPr="0077427C">
        <w:rPr>
          <w:rFonts w:ascii="Times New Roman" w:hAnsi="Times New Roman"/>
          <w:bCs/>
          <w:sz w:val="26"/>
          <w:szCs w:val="26"/>
        </w:rPr>
        <w:t xml:space="preserve">In tale contesto, gli elementi conoscitivi acquisiti nel corso dell’indagine mettono in luce il ruolo di impulso svolto dagli strumenti di incentivazione nel miglioramento dell’efficienza energetica degli edifici nel corso degli anni e nella riduzione delle emissioni, a partire dall’avvio dei meccanismi nel 2007 con un’accelerazione negli ultimi anni in corrispondenza con l’operatività del cosiddetto </w:t>
      </w:r>
      <w:r w:rsidRPr="0077427C">
        <w:rPr>
          <w:rFonts w:ascii="Times New Roman" w:hAnsi="Times New Roman"/>
          <w:bCs/>
          <w:i/>
          <w:sz w:val="26"/>
          <w:szCs w:val="26"/>
        </w:rPr>
        <w:t>superbonus</w:t>
      </w:r>
      <w:r w:rsidRPr="0077427C">
        <w:rPr>
          <w:rFonts w:ascii="Times New Roman" w:hAnsi="Times New Roman"/>
          <w:bCs/>
          <w:sz w:val="26"/>
          <w:szCs w:val="26"/>
        </w:rPr>
        <w:t xml:space="preserve">. </w:t>
      </w:r>
    </w:p>
    <w:p w14:paraId="17AD30B2" w14:textId="3B6794BE" w:rsidR="00EC462E" w:rsidRPr="0077427C" w:rsidRDefault="00EC462E" w:rsidP="00641414">
      <w:pPr>
        <w:ind w:firstLine="708"/>
        <w:rPr>
          <w:rFonts w:ascii="Times New Roman" w:hAnsi="Times New Roman"/>
          <w:bCs/>
          <w:sz w:val="26"/>
          <w:szCs w:val="26"/>
        </w:rPr>
      </w:pPr>
      <w:r w:rsidRPr="0077427C">
        <w:rPr>
          <w:rFonts w:ascii="Times New Roman" w:hAnsi="Times New Roman"/>
          <w:bCs/>
          <w:sz w:val="26"/>
          <w:szCs w:val="26"/>
        </w:rPr>
        <w:t xml:space="preserve">Tuttavia, secondo quanto riportato sono state mosse critiche agli incentivi in materia edilizia in Italia, in particolare al </w:t>
      </w:r>
      <w:r w:rsidRPr="0077427C">
        <w:rPr>
          <w:rFonts w:ascii="Times New Roman" w:hAnsi="Times New Roman"/>
          <w:bCs/>
          <w:i/>
          <w:sz w:val="26"/>
          <w:szCs w:val="26"/>
        </w:rPr>
        <w:t>superbonus</w:t>
      </w:r>
      <w:r w:rsidRPr="0077427C">
        <w:rPr>
          <w:rFonts w:ascii="Times New Roman" w:hAnsi="Times New Roman"/>
          <w:bCs/>
          <w:sz w:val="26"/>
          <w:szCs w:val="26"/>
        </w:rPr>
        <w:t xml:space="preserve"> 110%. Pur riconoscendo l'importanza di efficientare il patrimonio edilizio nazionale, vetusto e poco efficiente dal punto di vista energetico, è stato sottolineato che in Italia ci sono forse troppi strumenti di incentivazione mal gestiti, alcuni sovrapposti o in conflitto tra loro. Il </w:t>
      </w:r>
      <w:r w:rsidRPr="0077427C">
        <w:rPr>
          <w:rFonts w:ascii="Times New Roman" w:hAnsi="Times New Roman"/>
          <w:bCs/>
          <w:i/>
          <w:sz w:val="26"/>
          <w:szCs w:val="26"/>
        </w:rPr>
        <w:t>superbonus</w:t>
      </w:r>
      <w:r w:rsidRPr="0077427C">
        <w:rPr>
          <w:rFonts w:ascii="Times New Roman" w:hAnsi="Times New Roman"/>
          <w:bCs/>
          <w:sz w:val="26"/>
          <w:szCs w:val="26"/>
        </w:rPr>
        <w:t xml:space="preserve">, nello specifico, ha riguardato solo il 3% degli edifici (su 12 milioni) che necessiterebbero di interventi di efficientamento. In termini di costi, la riduzione di CO2 ottenuta col superbonus è costata circa 10 volte il valore di riferimento sul mercato ETS, anche a causa dell'aumento dei prezzi innescato dal picco di domanda in un arco temporale troppo ristretto, causando una distorsione del mercato di riferimento e uno </w:t>
      </w:r>
      <w:r w:rsidRPr="0077427C">
        <w:rPr>
          <w:rFonts w:ascii="Times New Roman" w:hAnsi="Times New Roman"/>
          <w:bCs/>
          <w:i/>
          <w:sz w:val="26"/>
          <w:szCs w:val="26"/>
        </w:rPr>
        <w:t>shock</w:t>
      </w:r>
      <w:r w:rsidRPr="0077427C">
        <w:rPr>
          <w:rFonts w:ascii="Times New Roman" w:hAnsi="Times New Roman"/>
          <w:bCs/>
          <w:sz w:val="26"/>
          <w:szCs w:val="26"/>
        </w:rPr>
        <w:t xml:space="preserve"> dei prezzi. </w:t>
      </w:r>
      <w:r w:rsidR="00641414" w:rsidRPr="0077427C">
        <w:rPr>
          <w:rFonts w:ascii="Times New Roman" w:hAnsi="Times New Roman"/>
          <w:bCs/>
          <w:sz w:val="26"/>
          <w:szCs w:val="26"/>
        </w:rPr>
        <w:t>Secondo quanto rileva</w:t>
      </w:r>
      <w:r w:rsidR="008B4C0A" w:rsidRPr="0077427C">
        <w:rPr>
          <w:rFonts w:ascii="Times New Roman" w:hAnsi="Times New Roman"/>
          <w:bCs/>
          <w:sz w:val="26"/>
          <w:szCs w:val="26"/>
        </w:rPr>
        <w:t>to in un’audizione della Banca d’Italia nell’ambito dell’indagine conoscitiva sugli effetti macroeconomici derivanti dagli incentivi fis</w:t>
      </w:r>
      <w:r w:rsidR="00437F04" w:rsidRPr="0077427C">
        <w:rPr>
          <w:rFonts w:ascii="Times New Roman" w:hAnsi="Times New Roman"/>
          <w:bCs/>
          <w:sz w:val="26"/>
          <w:szCs w:val="26"/>
        </w:rPr>
        <w:t>c</w:t>
      </w:r>
      <w:r w:rsidR="008B4C0A" w:rsidRPr="0077427C">
        <w:rPr>
          <w:rFonts w:ascii="Times New Roman" w:hAnsi="Times New Roman"/>
          <w:bCs/>
          <w:sz w:val="26"/>
          <w:szCs w:val="26"/>
        </w:rPr>
        <w:t>ali in materia edilizia</w:t>
      </w:r>
      <w:r w:rsidR="00437F04" w:rsidRPr="0077427C">
        <w:rPr>
          <w:rFonts w:ascii="Times New Roman" w:hAnsi="Times New Roman"/>
          <w:bCs/>
          <w:sz w:val="26"/>
          <w:szCs w:val="26"/>
        </w:rPr>
        <w:t xml:space="preserve"> svolta presso la Commissione bilancio della Camera</w:t>
      </w:r>
      <w:r w:rsidR="008B4C0A" w:rsidRPr="0077427C">
        <w:rPr>
          <w:rFonts w:ascii="Times New Roman" w:hAnsi="Times New Roman"/>
          <w:bCs/>
          <w:sz w:val="26"/>
          <w:szCs w:val="26"/>
        </w:rPr>
        <w:t>,</w:t>
      </w:r>
      <w:r w:rsidR="00641414" w:rsidRPr="0077427C">
        <w:rPr>
          <w:rFonts w:ascii="Times New Roman" w:hAnsi="Times New Roman"/>
          <w:bCs/>
          <w:sz w:val="26"/>
          <w:szCs w:val="26"/>
        </w:rPr>
        <w:t xml:space="preserve"> </w:t>
      </w:r>
      <w:r w:rsidR="00306148" w:rsidRPr="0077427C">
        <w:rPr>
          <w:rFonts w:ascii="Times New Roman" w:hAnsi="Times New Roman"/>
          <w:bCs/>
          <w:sz w:val="26"/>
          <w:szCs w:val="26"/>
        </w:rPr>
        <w:t xml:space="preserve">i benefici ambientali del </w:t>
      </w:r>
      <w:r w:rsidR="00641414" w:rsidRPr="0077427C">
        <w:rPr>
          <w:rFonts w:ascii="Times New Roman" w:hAnsi="Times New Roman"/>
          <w:bCs/>
          <w:i/>
          <w:sz w:val="26"/>
          <w:szCs w:val="26"/>
        </w:rPr>
        <w:t>superbonus</w:t>
      </w:r>
      <w:r w:rsidR="00306148" w:rsidRPr="0077427C">
        <w:rPr>
          <w:rFonts w:ascii="Times New Roman" w:hAnsi="Times New Roman"/>
          <w:bCs/>
          <w:sz w:val="26"/>
          <w:szCs w:val="26"/>
        </w:rPr>
        <w:t xml:space="preserve"> ripagherebbero i costi finanziari in circa</w:t>
      </w:r>
      <w:r w:rsidR="00641414" w:rsidRPr="0077427C">
        <w:rPr>
          <w:rFonts w:ascii="Times New Roman" w:hAnsi="Times New Roman"/>
          <w:bCs/>
          <w:sz w:val="26"/>
          <w:szCs w:val="26"/>
        </w:rPr>
        <w:t xml:space="preserve"> quaranta</w:t>
      </w:r>
      <w:r w:rsidR="00306148" w:rsidRPr="0077427C">
        <w:rPr>
          <w:rFonts w:ascii="Times New Roman" w:hAnsi="Times New Roman"/>
          <w:bCs/>
          <w:sz w:val="26"/>
          <w:szCs w:val="26"/>
        </w:rPr>
        <w:t xml:space="preserve"> anni</w:t>
      </w:r>
      <w:r w:rsidR="008B4C0A" w:rsidRPr="0077427C">
        <w:rPr>
          <w:rFonts w:ascii="Times New Roman" w:hAnsi="Times New Roman"/>
          <w:bCs/>
          <w:sz w:val="26"/>
          <w:szCs w:val="26"/>
        </w:rPr>
        <w:t xml:space="preserve"> sulla</w:t>
      </w:r>
      <w:r w:rsidR="00E57D52" w:rsidRPr="0077427C">
        <w:rPr>
          <w:rFonts w:ascii="Times New Roman" w:hAnsi="Times New Roman"/>
          <w:bCs/>
          <w:sz w:val="26"/>
          <w:szCs w:val="26"/>
        </w:rPr>
        <w:t xml:space="preserve"> base di un’analisi costi-benefici che mette a confronto il costo con il valore monetario attualizzato della riduzione attesa delle emissioni di gas serra</w:t>
      </w:r>
      <w:r w:rsidR="00437F04" w:rsidRPr="0077427C">
        <w:rPr>
          <w:rFonts w:ascii="Times New Roman" w:hAnsi="Times New Roman"/>
          <w:bCs/>
          <w:sz w:val="26"/>
          <w:szCs w:val="26"/>
        </w:rPr>
        <w:t xml:space="preserve"> adottando un tasso di sconto di poco inferiore al 2 per cento e assegnando un peso relativamente maggiore ai danni che si verificheranno nei paesi a basso reddito </w:t>
      </w:r>
      <w:r w:rsidR="00BB0F8B" w:rsidRPr="0077427C">
        <w:rPr>
          <w:rStyle w:val="Rimandonotaapidipagina"/>
          <w:rFonts w:ascii="Times New Roman" w:hAnsi="Times New Roman"/>
          <w:bCs/>
          <w:sz w:val="26"/>
          <w:szCs w:val="26"/>
        </w:rPr>
        <w:footnoteReference w:id="1"/>
      </w:r>
      <w:r w:rsidR="0023086C" w:rsidRPr="0077427C">
        <w:rPr>
          <w:rFonts w:ascii="Times New Roman" w:hAnsi="Times New Roman"/>
          <w:bCs/>
          <w:sz w:val="26"/>
          <w:szCs w:val="26"/>
        </w:rPr>
        <w:t>;</w:t>
      </w:r>
      <w:r w:rsidR="00437F04" w:rsidRPr="0077427C">
        <w:rPr>
          <w:rFonts w:ascii="Times New Roman" w:hAnsi="Times New Roman"/>
          <w:bCs/>
          <w:sz w:val="26"/>
          <w:szCs w:val="26"/>
        </w:rPr>
        <w:t xml:space="preserve"> </w:t>
      </w:r>
      <w:r w:rsidR="0023086C" w:rsidRPr="0077427C">
        <w:rPr>
          <w:rFonts w:ascii="Times New Roman" w:hAnsi="Times New Roman"/>
          <w:bCs/>
          <w:sz w:val="26"/>
          <w:szCs w:val="26"/>
        </w:rPr>
        <w:t>a</w:t>
      </w:r>
      <w:r w:rsidR="00306148" w:rsidRPr="0077427C">
        <w:rPr>
          <w:rFonts w:ascii="Times New Roman" w:hAnsi="Times New Roman"/>
          <w:bCs/>
          <w:sz w:val="26"/>
          <w:szCs w:val="26"/>
        </w:rPr>
        <w:t>dottando tassi di sconto più alti o ponderando i danni in modo uniforme</w:t>
      </w:r>
      <w:r w:rsidR="00641414" w:rsidRPr="0077427C">
        <w:rPr>
          <w:rFonts w:ascii="Times New Roman" w:hAnsi="Times New Roman"/>
          <w:bCs/>
          <w:sz w:val="26"/>
          <w:szCs w:val="26"/>
        </w:rPr>
        <w:t xml:space="preserve"> </w:t>
      </w:r>
      <w:r w:rsidR="00306148" w:rsidRPr="0077427C">
        <w:rPr>
          <w:rFonts w:ascii="Times New Roman" w:hAnsi="Times New Roman"/>
          <w:bCs/>
          <w:sz w:val="26"/>
          <w:szCs w:val="26"/>
        </w:rPr>
        <w:t>fra i diversi paesi, il valore monetario dei benefici ambientali risulterebbe invece</w:t>
      </w:r>
      <w:r w:rsidR="00641414" w:rsidRPr="0077427C">
        <w:rPr>
          <w:rFonts w:ascii="Times New Roman" w:hAnsi="Times New Roman"/>
          <w:bCs/>
          <w:sz w:val="26"/>
          <w:szCs w:val="26"/>
        </w:rPr>
        <w:t xml:space="preserve"> </w:t>
      </w:r>
      <w:r w:rsidR="00306148" w:rsidRPr="0077427C">
        <w:rPr>
          <w:rFonts w:ascii="Times New Roman" w:hAnsi="Times New Roman"/>
          <w:bCs/>
          <w:sz w:val="26"/>
          <w:szCs w:val="26"/>
        </w:rPr>
        <w:t>inferiore ai costi.</w:t>
      </w:r>
    </w:p>
    <w:p w14:paraId="6A31D66E" w14:textId="0FF5B588" w:rsidR="00EC462E" w:rsidRPr="0077427C" w:rsidRDefault="00EC462E" w:rsidP="00EC462E">
      <w:pPr>
        <w:ind w:firstLine="708"/>
        <w:rPr>
          <w:rFonts w:ascii="Times New Roman" w:hAnsi="Times New Roman"/>
          <w:bCs/>
          <w:sz w:val="26"/>
          <w:szCs w:val="26"/>
        </w:rPr>
      </w:pPr>
      <w:r w:rsidRPr="0077427C">
        <w:rPr>
          <w:rFonts w:ascii="Times New Roman" w:hAnsi="Times New Roman"/>
          <w:bCs/>
          <w:sz w:val="26"/>
          <w:szCs w:val="26"/>
        </w:rPr>
        <w:t xml:space="preserve">Nel corso delle audizioni sono state dibattute anche questioni concernenti altri aspetti concernenti gli incentivi, come ad esempio la cessione dei crediti e lo sconto in fattura, di cui si è dato conto nella sintesi delle varie audizioni, anche in considerazione dell’attualità di tali temi nel periodo di svolgimento delle audizioni stesse. </w:t>
      </w:r>
    </w:p>
    <w:p w14:paraId="14FC3BE4" w14:textId="77777777" w:rsidR="00EC462E" w:rsidRPr="0077427C" w:rsidRDefault="00EC462E" w:rsidP="00EC462E">
      <w:pPr>
        <w:ind w:firstLine="708"/>
        <w:rPr>
          <w:rFonts w:ascii="Times New Roman" w:hAnsi="Times New Roman"/>
          <w:bCs/>
          <w:sz w:val="26"/>
          <w:szCs w:val="26"/>
        </w:rPr>
      </w:pPr>
      <w:r w:rsidRPr="0077427C">
        <w:rPr>
          <w:rFonts w:ascii="Times New Roman" w:hAnsi="Times New Roman"/>
          <w:bCs/>
          <w:sz w:val="26"/>
          <w:szCs w:val="26"/>
        </w:rPr>
        <w:t xml:space="preserve">L’indagine ha consentito di acquisire elementi conoscitivi, che riguardano vari profili dell’impatto ambientale dei bonus edilizi e di altri strumenti di incentivazione, quali il conto termico, e che si basano su diverse elaborazioni di dati. Non sono invece stati acquisiti dati specifici sull’impatto degli incentivi sul miglioramento delle classi sismiche.  </w:t>
      </w:r>
    </w:p>
    <w:p w14:paraId="2B924BF5" w14:textId="77777777" w:rsidR="00EC462E" w:rsidRPr="0077427C" w:rsidRDefault="00EC462E" w:rsidP="00EC462E">
      <w:pPr>
        <w:ind w:firstLine="708"/>
        <w:rPr>
          <w:rFonts w:ascii="Times New Roman" w:hAnsi="Times New Roman"/>
          <w:sz w:val="26"/>
          <w:szCs w:val="26"/>
        </w:rPr>
      </w:pPr>
      <w:r w:rsidRPr="0077427C">
        <w:rPr>
          <w:rFonts w:ascii="Times New Roman" w:hAnsi="Times New Roman"/>
          <w:bCs/>
          <w:sz w:val="26"/>
          <w:szCs w:val="26"/>
        </w:rPr>
        <w:t>I dati raccolti nell’ambito dell’indagine, specie per il 2023, si sono basati su un monitoraggio in itinere e pertanto necessitavano di essere consolidati. Per tale ragione, nell’audizione del Ministro dell’ambiente è stata rilevata la necessità di</w:t>
      </w:r>
      <w:r w:rsidRPr="0077427C">
        <w:rPr>
          <w:rFonts w:ascii="Times New Roman" w:hAnsi="Times New Roman"/>
          <w:sz w:val="26"/>
          <w:szCs w:val="26"/>
        </w:rPr>
        <w:t xml:space="preserve"> una valutazione completa dell'impatto degli incentivi sugli obiettivi di riduzione delle emissioni, a partire dai dati del 2023, al fine di depurare i risultati dagli effetti dei vari fattori, come l'impatto della pandemia di COVID-19 e l'aumento dei prezzi dell'energia, e verificare il contributo effettivo alla riduzione delle emissioni e al miglioramento dell'efficienza energetica del parco immobiliare italiano. Anche secondo ISPRA, che ha segnalato per il superbonus al 30 giugno 2023 una riduzione delle emissioni pari a meno di 2 </w:t>
      </w:r>
      <w:r w:rsidRPr="0077427C">
        <w:rPr>
          <w:rFonts w:ascii="Times New Roman" w:hAnsi="Times New Roman"/>
          <w:bCs/>
          <w:sz w:val="26"/>
          <w:szCs w:val="26"/>
        </w:rPr>
        <w:t>milioni di tonnellate di CO2 equivalente</w:t>
      </w:r>
      <w:r w:rsidRPr="0077427C">
        <w:rPr>
          <w:rFonts w:ascii="Times New Roman" w:hAnsi="Times New Roman"/>
          <w:sz w:val="26"/>
          <w:szCs w:val="26"/>
        </w:rPr>
        <w:t xml:space="preserve">, un calcolo più preciso è di difficile realizzazione, stante la tipologia di dati raccolti per il monitoraggio e la concomitanza di eventi particolari sia legati alle condizioni meteorologiche degli anni oggetto degli incentivi, sia al conflitto in Ucraina e alle ricadute sui prezzi dell’energia. </w:t>
      </w:r>
    </w:p>
    <w:p w14:paraId="2678BD56" w14:textId="77777777" w:rsidR="00EC462E" w:rsidRPr="0077427C" w:rsidRDefault="00EC462E" w:rsidP="00EC462E">
      <w:pPr>
        <w:ind w:firstLine="708"/>
        <w:rPr>
          <w:rFonts w:ascii="Times New Roman" w:hAnsi="Times New Roman"/>
          <w:sz w:val="26"/>
          <w:szCs w:val="26"/>
        </w:rPr>
      </w:pPr>
      <w:r w:rsidRPr="0077427C">
        <w:rPr>
          <w:rFonts w:ascii="Times New Roman" w:hAnsi="Times New Roman"/>
          <w:sz w:val="26"/>
          <w:szCs w:val="26"/>
        </w:rPr>
        <w:t>Un’accurata valutazione è pertanto essenziale per orientare le politiche future in materia di incentivi nel modo più efficace possibile, in linea con gli obiettivi di riduzione delle emissioni e di efficienza energetica.</w:t>
      </w:r>
    </w:p>
    <w:p w14:paraId="01046317" w14:textId="77777777" w:rsidR="00EC462E" w:rsidRPr="0077427C" w:rsidRDefault="00EC462E" w:rsidP="00EC462E">
      <w:pPr>
        <w:ind w:firstLine="708"/>
        <w:rPr>
          <w:rFonts w:ascii="Times New Roman" w:hAnsi="Times New Roman"/>
          <w:bCs/>
          <w:sz w:val="26"/>
          <w:szCs w:val="26"/>
        </w:rPr>
      </w:pPr>
      <w:r w:rsidRPr="0077427C">
        <w:rPr>
          <w:rFonts w:ascii="Times New Roman" w:hAnsi="Times New Roman"/>
          <w:bCs/>
          <w:sz w:val="26"/>
          <w:szCs w:val="26"/>
        </w:rPr>
        <w:t xml:space="preserve">Nel corso dell’attività conoscitiva svolta dalla Commissione è emersa in via generale l’esigenza di una riforma del sistema di incentivazione nel suo complesso in funzione di una maggiore razionalizzazione che renda economicamente ed ecologicamente sostenibile l’investimento in termini di rapporti costi-benefici così come non è avvenuto con il </w:t>
      </w:r>
      <w:r w:rsidRPr="0077427C">
        <w:rPr>
          <w:rFonts w:ascii="Times New Roman" w:hAnsi="Times New Roman"/>
          <w:bCs/>
          <w:i/>
          <w:sz w:val="26"/>
          <w:szCs w:val="26"/>
        </w:rPr>
        <w:t>superbonus</w:t>
      </w:r>
      <w:r w:rsidRPr="0077427C">
        <w:rPr>
          <w:rFonts w:ascii="Times New Roman" w:hAnsi="Times New Roman"/>
          <w:bCs/>
          <w:sz w:val="26"/>
          <w:szCs w:val="26"/>
        </w:rPr>
        <w:t xml:space="preserve"> 110%, tenuto conto della revisione dei regimi fiscali di detrazione e delle questioni legate all’impatto economico sulla finanza pubblica emerse con particolare riguardo proprio al </w:t>
      </w:r>
      <w:r w:rsidRPr="0077427C">
        <w:rPr>
          <w:rFonts w:ascii="Times New Roman" w:hAnsi="Times New Roman"/>
          <w:bCs/>
          <w:i/>
          <w:sz w:val="26"/>
          <w:szCs w:val="26"/>
        </w:rPr>
        <w:t>superbonus</w:t>
      </w:r>
      <w:r w:rsidRPr="0077427C">
        <w:rPr>
          <w:rFonts w:ascii="Times New Roman" w:hAnsi="Times New Roman"/>
          <w:bCs/>
          <w:sz w:val="26"/>
          <w:szCs w:val="26"/>
        </w:rPr>
        <w:t xml:space="preserve">. Tale riforma, come è emerso anche in alcune audizioni, dovrebbe definire un quadro </w:t>
      </w:r>
      <w:r w:rsidRPr="0077427C">
        <w:rPr>
          <w:rFonts w:ascii="Times New Roman" w:hAnsi="Times New Roman"/>
          <w:sz w:val="26"/>
          <w:szCs w:val="26"/>
        </w:rPr>
        <w:t xml:space="preserve">di misure compatibile con le esigenze di finanza pubblica. </w:t>
      </w:r>
    </w:p>
    <w:p w14:paraId="205A0A7A" w14:textId="1C3884A1" w:rsidR="00EC462E" w:rsidRPr="0077427C" w:rsidRDefault="00EC462E" w:rsidP="00EC462E">
      <w:pPr>
        <w:ind w:firstLine="708"/>
        <w:rPr>
          <w:rFonts w:ascii="Times New Roman" w:hAnsi="Times New Roman"/>
          <w:bCs/>
          <w:sz w:val="26"/>
          <w:szCs w:val="26"/>
        </w:rPr>
      </w:pPr>
      <w:r w:rsidRPr="0077427C">
        <w:rPr>
          <w:rFonts w:ascii="Times New Roman" w:hAnsi="Times New Roman"/>
          <w:bCs/>
          <w:sz w:val="26"/>
          <w:szCs w:val="26"/>
        </w:rPr>
        <w:t xml:space="preserve">L’aggiornamento del Piano nazionale integrato per l'energia e il clima (PNIEC) prospetta inoltre una riforma generale delle detrazioni, che, come è stato precisato dal Ministro dell’ambiente </w:t>
      </w:r>
      <w:r w:rsidR="00A11338" w:rsidRPr="0077427C">
        <w:rPr>
          <w:rFonts w:ascii="Times New Roman" w:hAnsi="Times New Roman"/>
          <w:bCs/>
          <w:sz w:val="26"/>
          <w:szCs w:val="26"/>
        </w:rPr>
        <w:t xml:space="preserve">e della sicurezza energetica </w:t>
      </w:r>
      <w:r w:rsidRPr="0077427C">
        <w:rPr>
          <w:rFonts w:ascii="Times New Roman" w:hAnsi="Times New Roman"/>
          <w:bCs/>
          <w:sz w:val="26"/>
          <w:szCs w:val="26"/>
        </w:rPr>
        <w:t xml:space="preserve">nell’audizione del 12 ottobre 2023, affronti con un approccio integrato ed efficiente le opere di riqualificazione degli edifici residenziali esistenti e superi la frammentazione delle varie detrazioni. Tale approccio consentirebbe interventi di riqualificazione profonda che interesserebbe vari ambiti in un’ottica di sostenibilità, consentendo una visione d’insieme, che è stata auspicata anche in altre audizioni, e una combinazione di vari interventi che potrebbe essere affiancata da strumenti finanziari di supporto. Il PNIEC traccia le linee evolutive che dovranno caratterizzare la riforma generale delle detrazioni, che dovrà avere una durata almeno decennale prevedendo una modulazione dei benefici in funzione delle </w:t>
      </w:r>
      <w:r w:rsidRPr="0077427C">
        <w:rPr>
          <w:rFonts w:ascii="Times New Roman" w:hAnsi="Times New Roman"/>
          <w:bCs/>
          <w:i/>
          <w:sz w:val="26"/>
          <w:szCs w:val="26"/>
        </w:rPr>
        <w:t>performance</w:t>
      </w:r>
      <w:r w:rsidRPr="0077427C">
        <w:rPr>
          <w:rFonts w:ascii="Times New Roman" w:hAnsi="Times New Roman"/>
          <w:bCs/>
          <w:sz w:val="26"/>
          <w:szCs w:val="26"/>
        </w:rPr>
        <w:t xml:space="preserve"> generali raggiunte dall’edificio, da ottenere attraverso interventi con vari livelli di priorità. </w:t>
      </w:r>
    </w:p>
    <w:p w14:paraId="3950A8BD" w14:textId="77777777" w:rsidR="00EC462E" w:rsidRPr="0077427C" w:rsidRDefault="00EC462E" w:rsidP="00EC462E">
      <w:pPr>
        <w:rPr>
          <w:rFonts w:ascii="Times New Roman" w:hAnsi="Times New Roman"/>
          <w:bCs/>
          <w:sz w:val="26"/>
          <w:szCs w:val="26"/>
        </w:rPr>
      </w:pPr>
      <w:r w:rsidRPr="0077427C">
        <w:rPr>
          <w:rFonts w:ascii="Times New Roman" w:hAnsi="Times New Roman"/>
          <w:bCs/>
          <w:sz w:val="26"/>
          <w:szCs w:val="26"/>
        </w:rPr>
        <w:tab/>
        <w:t xml:space="preserve">Gli obiettivi europei di riduzione del 55% delle emissioni nette di gas serra entro il 2030 e l’entrata in vigore della nuova direttiva europea sulla prestazione energetica in edilizia delineano uno scenario nel quale sarà necessario un ripensamento delle azioni e delle misure proprio nell’ottica della massimizzazione dell’efficacia degli interventi da </w:t>
      </w:r>
      <w:proofErr w:type="gramStart"/>
      <w:r w:rsidRPr="0077427C">
        <w:rPr>
          <w:rFonts w:ascii="Times New Roman" w:hAnsi="Times New Roman"/>
          <w:bCs/>
          <w:sz w:val="26"/>
          <w:szCs w:val="26"/>
        </w:rPr>
        <w:t>mettere in campo</w:t>
      </w:r>
      <w:proofErr w:type="gramEnd"/>
      <w:r w:rsidRPr="0077427C">
        <w:rPr>
          <w:rFonts w:ascii="Times New Roman" w:hAnsi="Times New Roman"/>
          <w:bCs/>
          <w:sz w:val="26"/>
          <w:szCs w:val="26"/>
        </w:rPr>
        <w:t xml:space="preserve"> per il perseguimento degli obiettivi stessi. </w:t>
      </w:r>
    </w:p>
    <w:p w14:paraId="66662566" w14:textId="77777777" w:rsidR="00EC462E" w:rsidRPr="0077427C" w:rsidRDefault="00EC462E" w:rsidP="00EC462E">
      <w:pPr>
        <w:rPr>
          <w:rFonts w:ascii="Times New Roman" w:hAnsi="Times New Roman"/>
          <w:bCs/>
          <w:sz w:val="26"/>
          <w:szCs w:val="26"/>
        </w:rPr>
      </w:pPr>
      <w:r w:rsidRPr="0077427C">
        <w:rPr>
          <w:rFonts w:ascii="Times New Roman" w:hAnsi="Times New Roman"/>
          <w:bCs/>
          <w:sz w:val="26"/>
          <w:szCs w:val="26"/>
        </w:rPr>
        <w:tab/>
        <w:t>D’altronde l’Italia ha degli obblighi di riduzione delle emissioni che sono stabiliti dal regolamento sulla condivisione degli sforzi (</w:t>
      </w:r>
      <w:proofErr w:type="spellStart"/>
      <w:r w:rsidRPr="0077427C">
        <w:rPr>
          <w:rFonts w:ascii="Times New Roman" w:hAnsi="Times New Roman"/>
          <w:bCs/>
          <w:i/>
          <w:sz w:val="26"/>
          <w:szCs w:val="26"/>
        </w:rPr>
        <w:t>Effort</w:t>
      </w:r>
      <w:proofErr w:type="spellEnd"/>
      <w:r w:rsidRPr="0077427C">
        <w:rPr>
          <w:rFonts w:ascii="Times New Roman" w:hAnsi="Times New Roman"/>
          <w:bCs/>
          <w:sz w:val="26"/>
          <w:szCs w:val="26"/>
        </w:rPr>
        <w:t xml:space="preserve"> </w:t>
      </w:r>
      <w:r w:rsidRPr="0077427C">
        <w:rPr>
          <w:rFonts w:ascii="Times New Roman" w:hAnsi="Times New Roman"/>
          <w:bCs/>
          <w:i/>
          <w:sz w:val="26"/>
          <w:szCs w:val="26"/>
        </w:rPr>
        <w:t>Sharing)</w:t>
      </w:r>
      <w:r w:rsidRPr="0077427C">
        <w:rPr>
          <w:rFonts w:ascii="Times New Roman" w:hAnsi="Times New Roman"/>
          <w:bCs/>
          <w:sz w:val="26"/>
          <w:szCs w:val="26"/>
        </w:rPr>
        <w:t>, che fissa dei tetti massimi alle emissioni di una serie di settori, compreso il settore civile di cui fa parte il parco immobiliare nazionale. Considerato che tali tetti sono divenuti più stringenti con il pacchetto “Pronti per il 55%” (</w:t>
      </w:r>
      <w:proofErr w:type="spellStart"/>
      <w:r w:rsidRPr="0077427C">
        <w:rPr>
          <w:rFonts w:ascii="Times New Roman" w:hAnsi="Times New Roman"/>
          <w:bCs/>
          <w:i/>
          <w:sz w:val="26"/>
          <w:szCs w:val="26"/>
        </w:rPr>
        <w:t>Fit</w:t>
      </w:r>
      <w:proofErr w:type="spellEnd"/>
      <w:r w:rsidRPr="0077427C">
        <w:rPr>
          <w:rFonts w:ascii="Times New Roman" w:hAnsi="Times New Roman"/>
          <w:bCs/>
          <w:i/>
          <w:sz w:val="26"/>
          <w:szCs w:val="26"/>
        </w:rPr>
        <w:t xml:space="preserve"> for 55%</w:t>
      </w:r>
      <w:r w:rsidRPr="0077427C">
        <w:rPr>
          <w:rFonts w:ascii="Times New Roman" w:hAnsi="Times New Roman"/>
          <w:bCs/>
          <w:sz w:val="26"/>
          <w:szCs w:val="26"/>
        </w:rPr>
        <w:t>), secondo l’ISPRA, al fine di conseguire una traiettoria di riduzione delle emissioni in linea con gli obiettivi, sarà necessaria una diminuzione di almeno il 30% delle emissioni stesse nel periodo 2021-2030 con un contributo importante del settore civile.</w:t>
      </w:r>
    </w:p>
    <w:p w14:paraId="77B5AE31" w14:textId="77777777" w:rsidR="00EC462E" w:rsidRPr="0077427C" w:rsidRDefault="00EC462E" w:rsidP="00EC462E">
      <w:pPr>
        <w:rPr>
          <w:rFonts w:ascii="Times New Roman" w:hAnsi="Times New Roman"/>
          <w:bCs/>
          <w:sz w:val="26"/>
          <w:szCs w:val="26"/>
        </w:rPr>
      </w:pPr>
      <w:r w:rsidRPr="0077427C">
        <w:rPr>
          <w:rFonts w:ascii="Times New Roman" w:hAnsi="Times New Roman"/>
          <w:bCs/>
          <w:sz w:val="26"/>
          <w:szCs w:val="26"/>
        </w:rPr>
        <w:tab/>
        <w:t xml:space="preserve">La nuova direttiva sulla prestazione energetica in edilizia, che dovrebbe essere attuata nell’ordinamento nazionale entro il 29 maggio 2026, fissa un percorso che, rispetto all’impianto originario, attribuisce un margine maggiore di discrezionalità agli Stati membri nel perseguimento degli obiettivi da qui al 2050 e un quadro normativo meno restrittivo rispetto alla versione originariamente proposta, che comunque richiederà di intervenire su una quota di edifici residenziali ancora in larghissima parte ricadenti nelle classi energetiche peggiori con oneri eccessivi in assenza di incentivi finanziari adeguati. </w:t>
      </w:r>
      <w:proofErr w:type="gramStart"/>
      <w:r w:rsidRPr="0077427C">
        <w:rPr>
          <w:rFonts w:ascii="Times New Roman" w:hAnsi="Times New Roman"/>
          <w:bCs/>
          <w:sz w:val="26"/>
          <w:szCs w:val="26"/>
        </w:rPr>
        <w:t>E’</w:t>
      </w:r>
      <w:proofErr w:type="gramEnd"/>
      <w:r w:rsidRPr="0077427C">
        <w:rPr>
          <w:rFonts w:ascii="Times New Roman" w:hAnsi="Times New Roman"/>
          <w:bCs/>
          <w:sz w:val="26"/>
          <w:szCs w:val="26"/>
        </w:rPr>
        <w:t xml:space="preserve"> d’altronde la stessa direttiva a prospettare un mix di interventi che gli Stati membri devono promuovere per mobilitare gli investimenti che includono anche un sistema di detrazioni fiscali. Per tale ragione, nell’ambito della definizione del nuovo quadro finanziario pluriennale europeo, sarà necessario valutare l’opportunità di definire misure di sostegno per l’adeguamento del patrimonio edilizio alle regole e alle scadenze previste dalla direttiva, ferma restando la necessità di una revisione mirata della direttiva stessa al fine di assicurarne una maggiore gradualità nel perseguimento degli obiettivi. </w:t>
      </w:r>
    </w:p>
    <w:p w14:paraId="0FE87C79" w14:textId="77777777" w:rsidR="00EC462E" w:rsidRPr="0077427C" w:rsidRDefault="00EC462E" w:rsidP="00EC462E">
      <w:pPr>
        <w:rPr>
          <w:rFonts w:ascii="Times New Roman" w:hAnsi="Times New Roman"/>
          <w:sz w:val="26"/>
          <w:szCs w:val="26"/>
        </w:rPr>
      </w:pPr>
      <w:r w:rsidRPr="0077427C">
        <w:rPr>
          <w:rFonts w:ascii="Times New Roman" w:hAnsi="Times New Roman"/>
          <w:bCs/>
          <w:sz w:val="26"/>
          <w:szCs w:val="26"/>
        </w:rPr>
        <w:tab/>
        <w:t xml:space="preserve">Sulla base degli elementi conoscitivi acquisiti e delle proposte avanzate nel corso delle audizioni sotto il profilo dell’impatto ambientale, si reputa opportuno formulare le seguenti considerazioni nella prospettiva di una revisione degli incentivi </w:t>
      </w:r>
      <w:r w:rsidRPr="0077427C">
        <w:rPr>
          <w:rFonts w:ascii="Times New Roman" w:hAnsi="Times New Roman"/>
          <w:sz w:val="26"/>
          <w:szCs w:val="26"/>
        </w:rPr>
        <w:t>in materia edilizia:</w:t>
      </w:r>
    </w:p>
    <w:p w14:paraId="64FBEC5F" w14:textId="77777777" w:rsidR="00EC462E" w:rsidRPr="0077427C" w:rsidRDefault="00EC462E" w:rsidP="00EC462E">
      <w:pPr>
        <w:pStyle w:val="Paragrafoelenco"/>
        <w:numPr>
          <w:ilvl w:val="0"/>
          <w:numId w:val="18"/>
        </w:numPr>
        <w:spacing w:after="160" w:line="259" w:lineRule="auto"/>
        <w:rPr>
          <w:rFonts w:ascii="Times New Roman" w:hAnsi="Times New Roman"/>
          <w:sz w:val="26"/>
          <w:szCs w:val="26"/>
        </w:rPr>
      </w:pPr>
      <w:r w:rsidRPr="0077427C">
        <w:rPr>
          <w:rFonts w:ascii="Times New Roman" w:hAnsi="Times New Roman"/>
          <w:bCs/>
          <w:sz w:val="26"/>
          <w:szCs w:val="26"/>
        </w:rPr>
        <w:t xml:space="preserve">occorrerebbe definire un </w:t>
      </w:r>
      <w:r w:rsidRPr="0077427C">
        <w:rPr>
          <w:rFonts w:ascii="Times New Roman" w:hAnsi="Times New Roman"/>
          <w:bCs/>
          <w:sz w:val="26"/>
          <w:szCs w:val="26"/>
          <w:u w:val="single"/>
        </w:rPr>
        <w:t>quadro</w:t>
      </w:r>
      <w:r w:rsidRPr="0077427C">
        <w:rPr>
          <w:rFonts w:ascii="Times New Roman" w:hAnsi="Times New Roman"/>
          <w:bCs/>
          <w:sz w:val="26"/>
          <w:szCs w:val="26"/>
        </w:rPr>
        <w:t xml:space="preserve"> di strumenti </w:t>
      </w:r>
      <w:r w:rsidRPr="0077427C">
        <w:rPr>
          <w:rFonts w:ascii="Times New Roman" w:hAnsi="Times New Roman"/>
          <w:bCs/>
          <w:sz w:val="26"/>
          <w:szCs w:val="26"/>
          <w:u w:val="single"/>
        </w:rPr>
        <w:t>stabile</w:t>
      </w:r>
      <w:r w:rsidRPr="0077427C">
        <w:rPr>
          <w:rFonts w:ascii="Times New Roman" w:hAnsi="Times New Roman"/>
          <w:sz w:val="26"/>
          <w:szCs w:val="26"/>
        </w:rPr>
        <w:t xml:space="preserve">, al fine di evitare distorsioni sui prezzi, assicurare una maggiore sostenibilità nel tempo degli investimenti e tutelare l’affidamento di famiglie e operatori economici; </w:t>
      </w:r>
    </w:p>
    <w:p w14:paraId="2FA7DE1E" w14:textId="77777777" w:rsidR="00EC462E" w:rsidRPr="0077427C" w:rsidRDefault="00EC462E" w:rsidP="00EC462E">
      <w:pPr>
        <w:pStyle w:val="Paragrafoelenco"/>
        <w:numPr>
          <w:ilvl w:val="0"/>
          <w:numId w:val="18"/>
        </w:numPr>
        <w:spacing w:after="160" w:line="259" w:lineRule="auto"/>
        <w:rPr>
          <w:rFonts w:ascii="Times New Roman" w:hAnsi="Times New Roman"/>
          <w:sz w:val="26"/>
          <w:szCs w:val="26"/>
        </w:rPr>
      </w:pPr>
      <w:r w:rsidRPr="0077427C">
        <w:rPr>
          <w:rFonts w:ascii="Times New Roman" w:hAnsi="Times New Roman"/>
          <w:sz w:val="26"/>
          <w:szCs w:val="26"/>
        </w:rPr>
        <w:t xml:space="preserve">sarebbe opportuna una </w:t>
      </w:r>
      <w:r w:rsidRPr="0077427C">
        <w:rPr>
          <w:rFonts w:ascii="Times New Roman" w:hAnsi="Times New Roman"/>
          <w:sz w:val="26"/>
          <w:szCs w:val="26"/>
          <w:u w:val="single"/>
        </w:rPr>
        <w:t>razionalizzazione</w:t>
      </w:r>
      <w:r w:rsidRPr="0077427C">
        <w:rPr>
          <w:rFonts w:ascii="Times New Roman" w:hAnsi="Times New Roman"/>
          <w:sz w:val="26"/>
          <w:szCs w:val="26"/>
        </w:rPr>
        <w:t xml:space="preserve"> dei meccanismi di incentivazione, considerato che talune tipologie di spese sono agevolabili nell’ambito di vari regimi di sostegno e che andrebbe più in generale valutato se incentivare le spese che comunque sarebbero sostenute anche in assenza di incentivi;</w:t>
      </w:r>
    </w:p>
    <w:p w14:paraId="5600E410" w14:textId="77777777" w:rsidR="00EC462E" w:rsidRPr="0077427C" w:rsidRDefault="00EC462E" w:rsidP="00EC462E">
      <w:pPr>
        <w:pStyle w:val="Paragrafoelenco"/>
        <w:numPr>
          <w:ilvl w:val="0"/>
          <w:numId w:val="18"/>
        </w:numPr>
        <w:spacing w:after="160" w:line="259" w:lineRule="auto"/>
        <w:rPr>
          <w:rFonts w:ascii="Times New Roman" w:hAnsi="Times New Roman"/>
          <w:sz w:val="26"/>
          <w:szCs w:val="26"/>
        </w:rPr>
      </w:pPr>
      <w:r w:rsidRPr="0077427C">
        <w:rPr>
          <w:rFonts w:ascii="Times New Roman" w:hAnsi="Times New Roman"/>
          <w:sz w:val="26"/>
          <w:szCs w:val="26"/>
        </w:rPr>
        <w:t xml:space="preserve"> l’esigenza di </w:t>
      </w:r>
      <w:r w:rsidRPr="0077427C">
        <w:rPr>
          <w:rFonts w:ascii="Times New Roman" w:hAnsi="Times New Roman"/>
          <w:sz w:val="26"/>
          <w:szCs w:val="26"/>
          <w:u w:val="single"/>
        </w:rPr>
        <w:t xml:space="preserve">semplificazione </w:t>
      </w:r>
      <w:r w:rsidRPr="0077427C">
        <w:rPr>
          <w:rFonts w:ascii="Times New Roman" w:hAnsi="Times New Roman"/>
          <w:sz w:val="26"/>
          <w:szCs w:val="26"/>
        </w:rPr>
        <w:t xml:space="preserve">dovrebbe riguardare sia la confluenza della disciplina delle agevolazioni in un unico veicolo normativo (testo unico), sia gli adempimenti a carico degli utenti finali nella prospettiva di una velocizzazione delle procedure; </w:t>
      </w:r>
    </w:p>
    <w:p w14:paraId="3701CE18" w14:textId="7C2BC49C" w:rsidR="009815B5" w:rsidRPr="0077427C" w:rsidRDefault="00EC462E" w:rsidP="009815B5">
      <w:pPr>
        <w:pStyle w:val="Paragrafoelenco"/>
        <w:numPr>
          <w:ilvl w:val="0"/>
          <w:numId w:val="18"/>
        </w:numPr>
        <w:spacing w:after="160" w:line="259" w:lineRule="auto"/>
        <w:rPr>
          <w:rFonts w:ascii="Times New Roman" w:hAnsi="Times New Roman"/>
          <w:sz w:val="26"/>
          <w:szCs w:val="26"/>
        </w:rPr>
      </w:pPr>
      <w:r w:rsidRPr="0077427C">
        <w:rPr>
          <w:rFonts w:ascii="Times New Roman" w:hAnsi="Times New Roman"/>
          <w:sz w:val="26"/>
          <w:szCs w:val="26"/>
        </w:rPr>
        <w:t xml:space="preserve">occorrerebbe valutare, ferma restando la compartecipazione degli utenti, una </w:t>
      </w:r>
      <w:r w:rsidRPr="0077427C">
        <w:rPr>
          <w:rFonts w:ascii="Times New Roman" w:hAnsi="Times New Roman"/>
          <w:sz w:val="26"/>
          <w:szCs w:val="26"/>
          <w:u w:val="single"/>
        </w:rPr>
        <w:t>modulazione</w:t>
      </w:r>
      <w:r w:rsidRPr="0077427C">
        <w:rPr>
          <w:rFonts w:ascii="Times New Roman" w:hAnsi="Times New Roman"/>
          <w:sz w:val="26"/>
          <w:szCs w:val="26"/>
        </w:rPr>
        <w:t xml:space="preserve"> delle aliquote di incentivazione ovvero dei meccanismi di finanziamento</w:t>
      </w:r>
      <w:r w:rsidR="009815B5" w:rsidRPr="0077427C">
        <w:rPr>
          <w:rFonts w:ascii="Times New Roman" w:eastAsia="Arial Unicode MS" w:hAnsi="Times New Roman" w:cs="Arial Unicode MS"/>
          <w:b/>
          <w:bCs/>
          <w:color w:val="000000"/>
          <w:sz w:val="26"/>
          <w:szCs w:val="26"/>
          <w:u w:color="000000"/>
          <w:bdr w:val="nil"/>
        </w:rPr>
        <w:t xml:space="preserve"> </w:t>
      </w:r>
      <w:r w:rsidR="009815B5" w:rsidRPr="0077427C">
        <w:rPr>
          <w:rFonts w:ascii="Times New Roman" w:hAnsi="Times New Roman"/>
          <w:b/>
          <w:bCs/>
          <w:sz w:val="26"/>
          <w:szCs w:val="26"/>
        </w:rPr>
        <w:t>anche mediante trasferimenti diretti</w:t>
      </w:r>
      <w:r w:rsidR="009815B5" w:rsidRPr="0077427C">
        <w:rPr>
          <w:rFonts w:ascii="Times New Roman" w:hAnsi="Times New Roman"/>
          <w:sz w:val="26"/>
          <w:szCs w:val="26"/>
        </w:rPr>
        <w:t xml:space="preserve">, che </w:t>
      </w:r>
      <w:r w:rsidR="009815B5" w:rsidRPr="0077427C">
        <w:rPr>
          <w:rFonts w:ascii="Times New Roman" w:hAnsi="Times New Roman"/>
          <w:b/>
          <w:bCs/>
          <w:strike/>
          <w:sz w:val="26"/>
          <w:szCs w:val="26"/>
        </w:rPr>
        <w:t>potrebbero</w:t>
      </w:r>
      <w:r w:rsidR="009815B5" w:rsidRPr="0077427C">
        <w:rPr>
          <w:rFonts w:ascii="Times New Roman" w:hAnsi="Times New Roman"/>
          <w:sz w:val="26"/>
          <w:szCs w:val="26"/>
        </w:rPr>
        <w:t xml:space="preserve"> </w:t>
      </w:r>
      <w:r w:rsidR="009815B5" w:rsidRPr="0077427C">
        <w:rPr>
          <w:rFonts w:ascii="Times New Roman" w:hAnsi="Times New Roman"/>
          <w:b/>
          <w:bCs/>
          <w:sz w:val="26"/>
          <w:szCs w:val="26"/>
        </w:rPr>
        <w:t>dovrebbero</w:t>
      </w:r>
      <w:r w:rsidR="009815B5" w:rsidRPr="0077427C">
        <w:rPr>
          <w:rFonts w:ascii="Times New Roman" w:hAnsi="Times New Roman"/>
          <w:sz w:val="26"/>
          <w:szCs w:val="26"/>
        </w:rPr>
        <w:t xml:space="preserve"> tenere conto della situazione di povertà energetica dei beneficiari, </w:t>
      </w:r>
      <w:r w:rsidR="009815B5" w:rsidRPr="0077427C">
        <w:rPr>
          <w:rFonts w:ascii="Times New Roman" w:hAnsi="Times New Roman"/>
          <w:b/>
          <w:bCs/>
          <w:sz w:val="26"/>
          <w:szCs w:val="26"/>
        </w:rPr>
        <w:t>della necessità di non escludere dal beneficio categorie di contribuenti che si trovano in una condizione di incapienza fiscale,</w:t>
      </w:r>
      <w:r w:rsidR="009815B5" w:rsidRPr="0077427C">
        <w:rPr>
          <w:rFonts w:ascii="Times New Roman" w:hAnsi="Times New Roman"/>
          <w:sz w:val="26"/>
          <w:szCs w:val="26"/>
        </w:rPr>
        <w:t xml:space="preserve"> del carattere più o meno energivoro degli edifici, nonché del risparmio energetico generato ad esempio in termini di miglioramento di classi energetiche ovvero dell’energia primaria fossile risparmiata in linea con quanto previsto nella citata direttiva;</w:t>
      </w:r>
    </w:p>
    <w:p w14:paraId="7EC5D730" w14:textId="5B4C39B8" w:rsidR="00EC462E" w:rsidRPr="0077427C" w:rsidRDefault="00EC462E" w:rsidP="00F33C33">
      <w:pPr>
        <w:pStyle w:val="Paragrafoelenco"/>
        <w:numPr>
          <w:ilvl w:val="0"/>
          <w:numId w:val="18"/>
        </w:numPr>
        <w:spacing w:after="160" w:line="259" w:lineRule="auto"/>
        <w:rPr>
          <w:rFonts w:ascii="Times New Roman" w:hAnsi="Times New Roman"/>
          <w:sz w:val="26"/>
          <w:szCs w:val="26"/>
        </w:rPr>
      </w:pPr>
      <w:r w:rsidRPr="0077427C">
        <w:rPr>
          <w:rFonts w:ascii="Times New Roman" w:hAnsi="Times New Roman"/>
          <w:sz w:val="26"/>
          <w:szCs w:val="26"/>
        </w:rPr>
        <w:t xml:space="preserve">più in generale gli incentivi dovrebbero essere indirizzati in modo più mirato al raggiungimento degli obiettivi climatici, di risparmio energetico, di promozione dell’autonomia energetica da fonti rinnovabili, quale </w:t>
      </w:r>
      <w:r w:rsidRPr="0077427C">
        <w:rPr>
          <w:rFonts w:ascii="Times New Roman" w:hAnsi="Times New Roman"/>
          <w:sz w:val="26"/>
          <w:szCs w:val="26"/>
          <w:u w:val="single"/>
        </w:rPr>
        <w:t>strumento di implementazione delle politiche di decarbonizzazione</w:t>
      </w:r>
      <w:r w:rsidRPr="0077427C">
        <w:rPr>
          <w:rFonts w:ascii="Times New Roman" w:hAnsi="Times New Roman"/>
          <w:sz w:val="26"/>
          <w:szCs w:val="26"/>
        </w:rPr>
        <w:t xml:space="preserve"> in un’ottica di maggiore connessione con il PNIEC; in tal senso, si potrebbe valutare anche l’utilizzo di criteri che si concentrano sul livello di emissioni risparmiato per metro quadrato; </w:t>
      </w:r>
    </w:p>
    <w:p w14:paraId="06DD552F" w14:textId="7BD6D80F" w:rsidR="00EC462E" w:rsidRPr="0077427C" w:rsidRDefault="00EC462E" w:rsidP="00EC462E">
      <w:pPr>
        <w:pStyle w:val="Paragrafoelenco"/>
        <w:numPr>
          <w:ilvl w:val="0"/>
          <w:numId w:val="18"/>
        </w:numPr>
        <w:spacing w:after="160" w:line="259" w:lineRule="auto"/>
        <w:rPr>
          <w:rFonts w:ascii="Times New Roman" w:hAnsi="Times New Roman"/>
          <w:sz w:val="26"/>
          <w:szCs w:val="26"/>
        </w:rPr>
      </w:pPr>
      <w:r w:rsidRPr="0077427C">
        <w:rPr>
          <w:rFonts w:ascii="Times New Roman" w:hAnsi="Times New Roman"/>
          <w:bCs/>
          <w:sz w:val="26"/>
          <w:szCs w:val="26"/>
        </w:rPr>
        <w:t xml:space="preserve">andrebbe valutata l’opportunità di </w:t>
      </w:r>
      <w:r w:rsidRPr="0077427C">
        <w:rPr>
          <w:rFonts w:ascii="Times New Roman" w:hAnsi="Times New Roman"/>
          <w:bCs/>
          <w:sz w:val="26"/>
          <w:szCs w:val="26"/>
          <w:u w:val="single"/>
        </w:rPr>
        <w:t>riconfigurare il sistema degli incentivi su tessuti edilizi ed urbanistici più ampi</w:t>
      </w:r>
      <w:r w:rsidRPr="0077427C">
        <w:rPr>
          <w:rFonts w:ascii="Times New Roman" w:hAnsi="Times New Roman"/>
          <w:bCs/>
          <w:sz w:val="26"/>
          <w:szCs w:val="26"/>
        </w:rPr>
        <w:t xml:space="preserve">, </w:t>
      </w:r>
      <w:r w:rsidR="009815B5" w:rsidRPr="0077427C">
        <w:rPr>
          <w:rFonts w:ascii="Times New Roman" w:hAnsi="Times New Roman"/>
          <w:b/>
          <w:sz w:val="26"/>
          <w:szCs w:val="26"/>
        </w:rPr>
        <w:t xml:space="preserve">a partire dai condomini, </w:t>
      </w:r>
      <w:r w:rsidRPr="0077427C">
        <w:rPr>
          <w:rFonts w:ascii="Times New Roman" w:hAnsi="Times New Roman"/>
          <w:bCs/>
          <w:sz w:val="26"/>
          <w:szCs w:val="26"/>
        </w:rPr>
        <w:t>anche al fine di massimizzarne l’impatto ambientale, sociale e di messa in sicurezza e di ricollegarne la funzione a finalità di autoproduzione energetica attraverso le comunità energetiche</w:t>
      </w:r>
      <w:r w:rsidR="00096DCA" w:rsidRPr="0077427C">
        <w:rPr>
          <w:rFonts w:ascii="Times New Roman" w:hAnsi="Times New Roman"/>
          <w:bCs/>
          <w:sz w:val="26"/>
          <w:szCs w:val="26"/>
        </w:rPr>
        <w:t>,</w:t>
      </w:r>
      <w:r w:rsidR="00096DCA" w:rsidRPr="0077427C">
        <w:rPr>
          <w:rFonts w:ascii="Times New Roman" w:hAnsi="Times New Roman"/>
          <w:b/>
          <w:bCs/>
          <w:sz w:val="26"/>
          <w:szCs w:val="26"/>
        </w:rPr>
        <w:t xml:space="preserve"> e incentivi fiscali per la realizzazione di impianti di produzione di energia da fonte solare o eolica ad uso domestico, nonché per l'installazione di infrastrutture per la ricarica di veicoli elettrici</w:t>
      </w:r>
      <w:r w:rsidR="00096DCA" w:rsidRPr="0077427C">
        <w:rPr>
          <w:rFonts w:ascii="Times New Roman" w:hAnsi="Times New Roman"/>
          <w:bCs/>
          <w:sz w:val="26"/>
          <w:szCs w:val="26"/>
        </w:rPr>
        <w:t>;</w:t>
      </w:r>
      <w:r w:rsidR="009815B5" w:rsidRPr="0077427C">
        <w:rPr>
          <w:rFonts w:ascii="Times New Roman" w:hAnsi="Times New Roman"/>
          <w:b/>
          <w:bCs/>
          <w:sz w:val="26"/>
          <w:szCs w:val="26"/>
        </w:rPr>
        <w:t xml:space="preserve"> </w:t>
      </w:r>
      <w:r w:rsidRPr="0077427C">
        <w:rPr>
          <w:rFonts w:ascii="Times New Roman" w:hAnsi="Times New Roman"/>
          <w:bCs/>
          <w:sz w:val="26"/>
          <w:szCs w:val="26"/>
        </w:rPr>
        <w:t>in tale ambito, le operazioni di demolizione e ricostruzione possono svolgere un ruolo importante per finalità di miglioramento energetico</w:t>
      </w:r>
      <w:r w:rsidRPr="0077427C">
        <w:rPr>
          <w:rFonts w:ascii="Times New Roman" w:hAnsi="Times New Roman"/>
          <w:sz w:val="26"/>
          <w:szCs w:val="26"/>
        </w:rPr>
        <w:t xml:space="preserve"> e di rigenerazione urbana;</w:t>
      </w:r>
    </w:p>
    <w:p w14:paraId="7419B294" w14:textId="77777777" w:rsidR="00EC462E" w:rsidRPr="0077427C" w:rsidRDefault="00EC462E" w:rsidP="00EC462E">
      <w:pPr>
        <w:pStyle w:val="Paragrafoelenco"/>
        <w:numPr>
          <w:ilvl w:val="0"/>
          <w:numId w:val="18"/>
        </w:numPr>
        <w:spacing w:after="160" w:line="259" w:lineRule="auto"/>
        <w:rPr>
          <w:rFonts w:ascii="Times New Roman" w:hAnsi="Times New Roman"/>
          <w:sz w:val="26"/>
          <w:szCs w:val="26"/>
        </w:rPr>
      </w:pPr>
      <w:r w:rsidRPr="0077427C">
        <w:rPr>
          <w:rFonts w:ascii="Times New Roman" w:hAnsi="Times New Roman"/>
          <w:sz w:val="26"/>
          <w:szCs w:val="26"/>
        </w:rPr>
        <w:t xml:space="preserve">particolare attenzione dovrebbe essere dedicata alla </w:t>
      </w:r>
      <w:r w:rsidRPr="0077427C">
        <w:rPr>
          <w:rFonts w:ascii="Times New Roman" w:hAnsi="Times New Roman"/>
          <w:sz w:val="26"/>
          <w:szCs w:val="26"/>
          <w:u w:val="single"/>
        </w:rPr>
        <w:t xml:space="preserve">qualità </w:t>
      </w:r>
      <w:r w:rsidRPr="0077427C">
        <w:rPr>
          <w:rFonts w:ascii="Times New Roman" w:hAnsi="Times New Roman"/>
          <w:sz w:val="26"/>
          <w:szCs w:val="26"/>
        </w:rPr>
        <w:t xml:space="preserve">degli interventi agevolabili, allo scopo di puntare sull’utilizzo di tecnologie innovative e di materiali maggiormente prestazionali in termini di eco sostenibilità e riciclabilità, sulla base di una valutazione che comunque dovrebbe tenere conto complessivamente delle caratteristiche di tali materiali e dei loro utilizzi nella riqualificazione e nella messa in sicurezza degli edifici; </w:t>
      </w:r>
    </w:p>
    <w:p w14:paraId="18E4D50C" w14:textId="46D3092D" w:rsidR="00EC462E" w:rsidRPr="0077427C" w:rsidRDefault="00EC462E" w:rsidP="00EC462E">
      <w:pPr>
        <w:pStyle w:val="Paragrafoelenco"/>
        <w:numPr>
          <w:ilvl w:val="0"/>
          <w:numId w:val="18"/>
        </w:numPr>
        <w:spacing w:after="160" w:line="259" w:lineRule="auto"/>
        <w:rPr>
          <w:rFonts w:ascii="Times New Roman" w:hAnsi="Times New Roman"/>
          <w:bCs/>
          <w:sz w:val="26"/>
          <w:szCs w:val="26"/>
        </w:rPr>
      </w:pPr>
      <w:r w:rsidRPr="0077427C">
        <w:rPr>
          <w:rFonts w:ascii="Times New Roman" w:hAnsi="Times New Roman"/>
          <w:bCs/>
          <w:sz w:val="26"/>
          <w:szCs w:val="26"/>
        </w:rPr>
        <w:t xml:space="preserve">grande importanza dovrebbe continuare a rivestire l’agevolazione di interventi per la </w:t>
      </w:r>
      <w:r w:rsidRPr="0077427C">
        <w:rPr>
          <w:rFonts w:ascii="Times New Roman" w:hAnsi="Times New Roman"/>
          <w:bCs/>
          <w:sz w:val="26"/>
          <w:szCs w:val="26"/>
          <w:u w:val="single"/>
        </w:rPr>
        <w:t>riduzione del rischio sismico</w:t>
      </w:r>
      <w:r w:rsidRPr="0077427C">
        <w:rPr>
          <w:rFonts w:ascii="Times New Roman" w:hAnsi="Times New Roman"/>
          <w:bCs/>
          <w:sz w:val="26"/>
          <w:szCs w:val="26"/>
        </w:rPr>
        <w:t xml:space="preserve">, di cui andrebbe valutato in modo più accurato l’impatto e il miglioramento della classe sismica; nella riforma delle detrazioni prospettata dal PNIEC si fa riferimento alla concessione di benefici crescenti in funzione della </w:t>
      </w:r>
      <w:r w:rsidRPr="0077427C">
        <w:rPr>
          <w:rFonts w:ascii="Times New Roman" w:hAnsi="Times New Roman"/>
          <w:bCs/>
          <w:i/>
          <w:sz w:val="26"/>
          <w:szCs w:val="26"/>
        </w:rPr>
        <w:t>performance</w:t>
      </w:r>
      <w:r w:rsidRPr="0077427C">
        <w:rPr>
          <w:rFonts w:ascii="Times New Roman" w:hAnsi="Times New Roman"/>
          <w:bCs/>
          <w:sz w:val="26"/>
          <w:szCs w:val="26"/>
        </w:rPr>
        <w:t xml:space="preserve"> energetica raggiunta, tenendo anche conto delle </w:t>
      </w:r>
      <w:r w:rsidRPr="0077427C">
        <w:rPr>
          <w:rFonts w:ascii="Times New Roman" w:hAnsi="Times New Roman"/>
          <w:bCs/>
          <w:i/>
          <w:sz w:val="26"/>
          <w:szCs w:val="26"/>
        </w:rPr>
        <w:t>performance</w:t>
      </w:r>
      <w:r w:rsidRPr="0077427C">
        <w:rPr>
          <w:rFonts w:ascii="Times New Roman" w:hAnsi="Times New Roman"/>
          <w:bCs/>
          <w:sz w:val="26"/>
          <w:szCs w:val="26"/>
        </w:rPr>
        <w:t xml:space="preserve"> sismiche per le aree ad alto rischio; </w:t>
      </w:r>
      <w:r w:rsidR="00096DCA" w:rsidRPr="0077427C">
        <w:rPr>
          <w:rFonts w:ascii="Times New Roman" w:hAnsi="Times New Roman"/>
          <w:b/>
          <w:bCs/>
          <w:sz w:val="26"/>
          <w:szCs w:val="26"/>
        </w:rPr>
        <w:t xml:space="preserve">al riguardo, appare necessario prevedere che il riconoscimento dell’agevolazione fiscale per l'efficientamento energetico </w:t>
      </w:r>
      <w:r w:rsidR="00AB0878" w:rsidRPr="0077427C">
        <w:rPr>
          <w:rFonts w:ascii="Times New Roman" w:hAnsi="Times New Roman"/>
          <w:b/>
          <w:bCs/>
          <w:sz w:val="26"/>
          <w:szCs w:val="26"/>
        </w:rPr>
        <w:t xml:space="preserve">sia accompagnato preferibilmente dallo </w:t>
      </w:r>
      <w:r w:rsidR="00096DCA" w:rsidRPr="0077427C">
        <w:rPr>
          <w:rFonts w:ascii="Times New Roman" w:hAnsi="Times New Roman"/>
          <w:b/>
          <w:bCs/>
          <w:sz w:val="26"/>
          <w:szCs w:val="26"/>
        </w:rPr>
        <w:t>svolgimento della valutazione della vulnerabilità strutturale/sismica dell'edificio interessato dall’intervento;</w:t>
      </w:r>
      <w:r w:rsidR="009815B5" w:rsidRPr="0077427C">
        <w:rPr>
          <w:rFonts w:ascii="Times New Roman" w:hAnsi="Times New Roman"/>
          <w:b/>
          <w:bCs/>
          <w:sz w:val="26"/>
          <w:szCs w:val="26"/>
        </w:rPr>
        <w:t xml:space="preserve"> </w:t>
      </w:r>
    </w:p>
    <w:p w14:paraId="1DCDFBD0" w14:textId="613A2733" w:rsidR="00EC462E" w:rsidRPr="0077427C" w:rsidRDefault="00EC462E" w:rsidP="00EC462E">
      <w:pPr>
        <w:pStyle w:val="Paragrafoelenco"/>
        <w:numPr>
          <w:ilvl w:val="0"/>
          <w:numId w:val="18"/>
        </w:numPr>
        <w:spacing w:after="160" w:line="259" w:lineRule="auto"/>
        <w:rPr>
          <w:rFonts w:ascii="Times New Roman" w:hAnsi="Times New Roman"/>
          <w:bCs/>
          <w:sz w:val="26"/>
          <w:szCs w:val="26"/>
        </w:rPr>
      </w:pPr>
      <w:r w:rsidRPr="0077427C">
        <w:rPr>
          <w:rFonts w:ascii="Times New Roman" w:hAnsi="Times New Roman"/>
          <w:sz w:val="26"/>
          <w:szCs w:val="26"/>
          <w:u w:val="single"/>
        </w:rPr>
        <w:t>gli interventi riguardanti gli edifici pubblici e l’edilizia residenziale pubblica</w:t>
      </w:r>
      <w:r w:rsidRPr="0077427C">
        <w:rPr>
          <w:rFonts w:ascii="Times New Roman" w:hAnsi="Times New Roman"/>
          <w:sz w:val="26"/>
          <w:szCs w:val="26"/>
        </w:rPr>
        <w:t xml:space="preserve"> e sociale rivestono un ruolo cruciale nell’ambito del </w:t>
      </w:r>
      <w:r w:rsidRPr="0077427C">
        <w:rPr>
          <w:rFonts w:ascii="Times New Roman" w:hAnsi="Times New Roman"/>
          <w:sz w:val="26"/>
          <w:szCs w:val="26"/>
          <w:u w:val="single"/>
        </w:rPr>
        <w:t>miglioramento dell’efficienza energetica;</w:t>
      </w:r>
      <w:r w:rsidRPr="0077427C">
        <w:rPr>
          <w:rFonts w:ascii="Times New Roman" w:hAnsi="Times New Roman"/>
          <w:sz w:val="26"/>
          <w:szCs w:val="26"/>
        </w:rPr>
        <w:t xml:space="preserve"> al riguardo, nell’ambito dei meccanismi esistenti appare necessario procedere quanto prima alla revisione del conto termico al fine di incrementarne </w:t>
      </w:r>
      <w:r w:rsidRPr="0077427C">
        <w:rPr>
          <w:rFonts w:ascii="Times New Roman" w:hAnsi="Times New Roman"/>
          <w:bCs/>
          <w:sz w:val="26"/>
          <w:szCs w:val="26"/>
        </w:rPr>
        <w:t xml:space="preserve">l’utilizzo, nonché monitorare il nuovo strumento previsto all’interno del PNRR per </w:t>
      </w:r>
      <w:r w:rsidRPr="0077427C">
        <w:rPr>
          <w:rFonts w:ascii="Times New Roman" w:hAnsi="Times New Roman"/>
          <w:sz w:val="26"/>
          <w:szCs w:val="26"/>
        </w:rPr>
        <w:t>migliorare l'accesso ai finanziamenti per le ristrutturazioni energetiche dell'edilizia pubblica anche residenziale e sociale (investimento 17)</w:t>
      </w:r>
      <w:r w:rsidR="009815B5" w:rsidRPr="0077427C">
        <w:rPr>
          <w:rFonts w:ascii="Times New Roman" w:hAnsi="Times New Roman"/>
          <w:sz w:val="26"/>
          <w:szCs w:val="26"/>
        </w:rPr>
        <w:t>;</w:t>
      </w:r>
    </w:p>
    <w:p w14:paraId="00A3FEE5" w14:textId="3FE641C5" w:rsidR="000277D4" w:rsidRPr="0077427C" w:rsidRDefault="00E45DBA" w:rsidP="00EC462E">
      <w:pPr>
        <w:pStyle w:val="Paragrafoelenco"/>
        <w:numPr>
          <w:ilvl w:val="0"/>
          <w:numId w:val="18"/>
        </w:numPr>
        <w:spacing w:after="160" w:line="259" w:lineRule="auto"/>
        <w:rPr>
          <w:rFonts w:ascii="Times New Roman" w:hAnsi="Times New Roman"/>
          <w:b/>
          <w:bCs/>
          <w:sz w:val="26"/>
          <w:szCs w:val="26"/>
        </w:rPr>
      </w:pPr>
      <w:r w:rsidRPr="0077427C">
        <w:rPr>
          <w:rFonts w:ascii="Times New Roman" w:hAnsi="Times New Roman"/>
          <w:b/>
          <w:bCs/>
          <w:sz w:val="26"/>
          <w:szCs w:val="26"/>
        </w:rPr>
        <w:t xml:space="preserve"> </w:t>
      </w:r>
      <w:r w:rsidR="000277D4" w:rsidRPr="0077427C">
        <w:rPr>
          <w:rFonts w:ascii="Times New Roman" w:hAnsi="Times New Roman"/>
          <w:b/>
          <w:bCs/>
          <w:sz w:val="26"/>
          <w:szCs w:val="26"/>
        </w:rPr>
        <w:t xml:space="preserve">è essenziale </w:t>
      </w:r>
      <w:r w:rsidR="000277D4" w:rsidRPr="0077427C">
        <w:rPr>
          <w:rFonts w:ascii="Times New Roman" w:hAnsi="Times New Roman"/>
          <w:b/>
          <w:bCs/>
          <w:sz w:val="26"/>
          <w:szCs w:val="26"/>
          <w:u w:val="single"/>
        </w:rPr>
        <w:t xml:space="preserve">promuovere la qualificazione delle imprese edilizie </w:t>
      </w:r>
      <w:r w:rsidR="000277D4" w:rsidRPr="0077427C">
        <w:rPr>
          <w:rFonts w:ascii="Times New Roman" w:hAnsi="Times New Roman"/>
          <w:b/>
          <w:bCs/>
          <w:sz w:val="26"/>
          <w:szCs w:val="26"/>
        </w:rPr>
        <w:t>per garantire trasparenza, affidabilità e sicurezza anche in conformità con le direttive dell’UE sull'efficientamento energetico, considerato che l’aumento del numero delle imprese qualificate migliora la qualità dei lavori e promuove una competizione equa</w:t>
      </w:r>
      <w:r w:rsidR="009815B5" w:rsidRPr="0077427C">
        <w:rPr>
          <w:rFonts w:ascii="Times New Roman" w:hAnsi="Times New Roman"/>
          <w:b/>
          <w:bCs/>
          <w:sz w:val="26"/>
          <w:szCs w:val="26"/>
        </w:rPr>
        <w:t>;</w:t>
      </w:r>
      <w:r w:rsidRPr="0077427C">
        <w:rPr>
          <w:rFonts w:ascii="Times New Roman" w:hAnsi="Times New Roman"/>
          <w:b/>
          <w:bCs/>
          <w:sz w:val="26"/>
          <w:szCs w:val="26"/>
        </w:rPr>
        <w:t xml:space="preserve"> </w:t>
      </w:r>
    </w:p>
    <w:p w14:paraId="0E38E411" w14:textId="47C3DC46" w:rsidR="009815B5" w:rsidRPr="0077427C" w:rsidRDefault="009815B5" w:rsidP="00EC462E">
      <w:pPr>
        <w:pStyle w:val="Paragrafoelenco"/>
        <w:numPr>
          <w:ilvl w:val="0"/>
          <w:numId w:val="18"/>
        </w:numPr>
        <w:spacing w:after="160" w:line="259" w:lineRule="auto"/>
        <w:rPr>
          <w:rFonts w:ascii="Times New Roman" w:hAnsi="Times New Roman"/>
          <w:b/>
          <w:bCs/>
          <w:sz w:val="26"/>
          <w:szCs w:val="26"/>
        </w:rPr>
      </w:pPr>
      <w:r w:rsidRPr="0077427C">
        <w:rPr>
          <w:rFonts w:ascii="Times New Roman" w:hAnsi="Times New Roman"/>
          <w:b/>
          <w:bCs/>
          <w:sz w:val="26"/>
          <w:szCs w:val="26"/>
        </w:rPr>
        <w:t xml:space="preserve"> </w:t>
      </w:r>
      <w:r w:rsidR="0002408F" w:rsidRPr="0077427C">
        <w:rPr>
          <w:rFonts w:ascii="Times New Roman" w:hAnsi="Times New Roman"/>
          <w:b/>
          <w:bCs/>
          <w:sz w:val="26"/>
          <w:szCs w:val="26"/>
        </w:rPr>
        <w:t xml:space="preserve">in tale contesto, dovrebbero valutarsi modalità per assicurare alle Commissioni parlamentari competenti un </w:t>
      </w:r>
      <w:r w:rsidR="0002408F" w:rsidRPr="0077427C">
        <w:rPr>
          <w:rFonts w:ascii="Times New Roman" w:hAnsi="Times New Roman"/>
          <w:b/>
          <w:bCs/>
          <w:sz w:val="26"/>
          <w:szCs w:val="26"/>
          <w:u w:val="single"/>
        </w:rPr>
        <w:t>monitoraggio periodico degli effetti</w:t>
      </w:r>
      <w:r w:rsidR="00AB0878" w:rsidRPr="0077427C">
        <w:rPr>
          <w:rFonts w:ascii="Times New Roman" w:hAnsi="Times New Roman"/>
          <w:b/>
          <w:bCs/>
          <w:sz w:val="26"/>
          <w:szCs w:val="26"/>
          <w:u w:val="single"/>
        </w:rPr>
        <w:t xml:space="preserve"> </w:t>
      </w:r>
      <w:r w:rsidR="0002408F" w:rsidRPr="0077427C">
        <w:rPr>
          <w:rFonts w:ascii="Times New Roman" w:hAnsi="Times New Roman"/>
          <w:b/>
          <w:bCs/>
          <w:sz w:val="26"/>
          <w:szCs w:val="26"/>
          <w:u w:val="single"/>
        </w:rPr>
        <w:t>delle misure agevolative</w:t>
      </w:r>
      <w:r w:rsidR="0002408F" w:rsidRPr="0077427C">
        <w:rPr>
          <w:rFonts w:ascii="Times New Roman" w:hAnsi="Times New Roman"/>
          <w:b/>
          <w:bCs/>
          <w:sz w:val="26"/>
          <w:szCs w:val="26"/>
        </w:rPr>
        <w:t xml:space="preserve"> volte alla riqualificazione del patrimonio edilizio, anche nell’ottica della razionalizzazione della spesa, al fine di accelerare i processi di miglioramento dell’efficienza energetica nazionale, in linea con gli obiettivi previsti dal Piano Nazionale Integrato per l’Energia e il Clima.</w:t>
      </w:r>
      <w:r w:rsidRPr="0077427C">
        <w:rPr>
          <w:rFonts w:ascii="Times New Roman" w:hAnsi="Times New Roman"/>
          <w:b/>
          <w:bCs/>
          <w:sz w:val="26"/>
          <w:szCs w:val="26"/>
        </w:rPr>
        <w:t xml:space="preserve"> </w:t>
      </w:r>
    </w:p>
    <w:p w14:paraId="024214DC" w14:textId="023C701F" w:rsidR="00EC462E" w:rsidRPr="00317B5A" w:rsidRDefault="00EC462E" w:rsidP="00EC462E">
      <w:pPr>
        <w:ind w:left="360" w:firstLine="348"/>
        <w:rPr>
          <w:rFonts w:ascii="Times New Roman" w:hAnsi="Times New Roman"/>
          <w:bCs/>
          <w:sz w:val="26"/>
          <w:szCs w:val="26"/>
        </w:rPr>
      </w:pPr>
      <w:r w:rsidRPr="0077427C">
        <w:rPr>
          <w:rFonts w:ascii="Times New Roman" w:hAnsi="Times New Roman"/>
          <w:bCs/>
          <w:sz w:val="26"/>
          <w:szCs w:val="26"/>
        </w:rPr>
        <w:t xml:space="preserve">In conclusione, si reputa necessario, nell’ambito dell’aggiornamento delle strategie,  della revisione delle misure esistenti e della definizione di nuovi strumenti, puntare a misure e incentivi per la riqualificazione dell’edilizia privata e pubblica, che dovrebbero operare in una logica di maggiore sinergia rispetto alla sfida posta dal perseguimento di obiettivi ambientali sempre più ambiziosi, sinergia sia sul piano dei vari meccanismi di agevolazione, sia del loro finanziamento che dovrebbe avvalersi di risorse nazionali ed europee.  Le azioni da </w:t>
      </w:r>
      <w:proofErr w:type="gramStart"/>
      <w:r w:rsidRPr="0077427C">
        <w:rPr>
          <w:rFonts w:ascii="Times New Roman" w:hAnsi="Times New Roman"/>
          <w:bCs/>
          <w:sz w:val="26"/>
          <w:szCs w:val="26"/>
        </w:rPr>
        <w:t>mettere in campo</w:t>
      </w:r>
      <w:proofErr w:type="gramEnd"/>
      <w:r w:rsidRPr="0077427C">
        <w:rPr>
          <w:rFonts w:ascii="Times New Roman" w:hAnsi="Times New Roman"/>
          <w:bCs/>
          <w:sz w:val="26"/>
          <w:szCs w:val="26"/>
        </w:rPr>
        <w:t xml:space="preserve"> dovranno essere comunque improntate a una certa gradualità e programmate in un orizzonte temporale ampio tenendo comunque conto delle peculiarità del pat</w:t>
      </w:r>
      <w:r w:rsidR="009A4070" w:rsidRPr="0077427C">
        <w:rPr>
          <w:rFonts w:ascii="Times New Roman" w:hAnsi="Times New Roman"/>
          <w:bCs/>
          <w:sz w:val="26"/>
          <w:szCs w:val="26"/>
        </w:rPr>
        <w:t>rimonio immobiliare nazionale.</w:t>
      </w:r>
    </w:p>
    <w:sectPr w:rsidR="00EC462E" w:rsidRPr="00317B5A">
      <w:footerReference w:type="default" r:id="rId2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906E3C" w14:textId="77777777" w:rsidR="00F758D6" w:rsidRDefault="00F758D6" w:rsidP="00D30B9C">
      <w:pPr>
        <w:spacing w:line="240" w:lineRule="auto"/>
      </w:pPr>
      <w:r>
        <w:separator/>
      </w:r>
    </w:p>
  </w:endnote>
  <w:endnote w:type="continuationSeparator" w:id="0">
    <w:p w14:paraId="5CEB8B49" w14:textId="77777777" w:rsidR="00F758D6" w:rsidRDefault="00F758D6" w:rsidP="00D30B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G Times">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Fira Sans">
    <w:altName w:val="Arial"/>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00436309"/>
      <w:docPartObj>
        <w:docPartGallery w:val="Page Numbers (Bottom of Page)"/>
        <w:docPartUnique/>
      </w:docPartObj>
    </w:sdtPr>
    <w:sdtContent>
      <w:p w14:paraId="5FF333AB" w14:textId="3FB274AF" w:rsidR="00B1555A" w:rsidRDefault="00B1555A">
        <w:pPr>
          <w:pStyle w:val="Pidipagina"/>
          <w:jc w:val="right"/>
        </w:pPr>
        <w:r>
          <w:fldChar w:fldCharType="begin"/>
        </w:r>
        <w:r>
          <w:instrText>PAGE   \* MERGEFORMAT</w:instrText>
        </w:r>
        <w:r>
          <w:fldChar w:fldCharType="separate"/>
        </w:r>
        <w:r w:rsidR="0077427C">
          <w:rPr>
            <w:noProof/>
          </w:rPr>
          <w:t>51</w:t>
        </w:r>
        <w:r>
          <w:fldChar w:fldCharType="end"/>
        </w:r>
      </w:p>
    </w:sdtContent>
  </w:sdt>
  <w:p w14:paraId="0C0FDFC0" w14:textId="77777777" w:rsidR="00B1555A" w:rsidRDefault="00B1555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A91C46" w14:textId="77777777" w:rsidR="00F758D6" w:rsidRDefault="00F758D6" w:rsidP="00D30B9C">
      <w:pPr>
        <w:spacing w:line="240" w:lineRule="auto"/>
      </w:pPr>
      <w:r>
        <w:separator/>
      </w:r>
    </w:p>
  </w:footnote>
  <w:footnote w:type="continuationSeparator" w:id="0">
    <w:p w14:paraId="31D817CB" w14:textId="77777777" w:rsidR="00F758D6" w:rsidRDefault="00F758D6" w:rsidP="00D30B9C">
      <w:pPr>
        <w:spacing w:line="240" w:lineRule="auto"/>
      </w:pPr>
      <w:r>
        <w:continuationSeparator/>
      </w:r>
    </w:p>
  </w:footnote>
  <w:footnote w:id="1">
    <w:p w14:paraId="54BC912F" w14:textId="7A98EEA9" w:rsidR="00B1555A" w:rsidRDefault="00B1555A" w:rsidP="00437F04">
      <w:pPr>
        <w:pStyle w:val="Testonotaapidipagina"/>
        <w:jc w:val="both"/>
      </w:pPr>
      <w:r w:rsidRPr="009A4070">
        <w:rPr>
          <w:rStyle w:val="Rimandonotaapidipagina"/>
        </w:rPr>
        <w:footnoteRef/>
      </w:r>
      <w:r w:rsidRPr="009A4070">
        <w:t xml:space="preserve"> </w:t>
      </w:r>
      <w:r w:rsidRPr="009A4070">
        <w:tab/>
      </w:r>
      <w:r w:rsidRPr="009A4070">
        <w:rPr>
          <w:rFonts w:ascii="Times New Roman" w:hAnsi="Times New Roman"/>
          <w:bCs/>
          <w:sz w:val="20"/>
          <w:szCs w:val="20"/>
        </w:rPr>
        <w:t xml:space="preserve">Come segnalato nell’audizione del 29 marzo 2023, tale valore, noto come </w:t>
      </w:r>
      <w:r w:rsidRPr="009A4070">
        <w:rPr>
          <w:rFonts w:ascii="Times New Roman" w:hAnsi="Times New Roman"/>
          <w:bCs/>
          <w:i/>
          <w:sz w:val="20"/>
          <w:szCs w:val="20"/>
        </w:rPr>
        <w:t>Social Cost of Carbon</w:t>
      </w:r>
      <w:r w:rsidRPr="009A4070">
        <w:rPr>
          <w:rFonts w:ascii="Times New Roman" w:hAnsi="Times New Roman"/>
          <w:bCs/>
          <w:sz w:val="20"/>
          <w:szCs w:val="20"/>
        </w:rPr>
        <w:t xml:space="preserve">, è calcolato in termini di minori danni futuri legati al cambiamento climatico in tutto il pianeta (ad esempio danni causati da calamità naturali, minore produttività agricola, ecc...).  Le stime del </w:t>
      </w:r>
      <w:r w:rsidRPr="009A4070">
        <w:rPr>
          <w:rFonts w:ascii="Times New Roman" w:hAnsi="Times New Roman"/>
          <w:bCs/>
          <w:i/>
          <w:sz w:val="20"/>
          <w:szCs w:val="20"/>
        </w:rPr>
        <w:t>Social Cost of Carbon</w:t>
      </w:r>
      <w:r w:rsidRPr="009A4070">
        <w:rPr>
          <w:rFonts w:ascii="Times New Roman" w:hAnsi="Times New Roman"/>
          <w:bCs/>
          <w:sz w:val="20"/>
          <w:szCs w:val="20"/>
        </w:rPr>
        <w:t xml:space="preserve"> reperibili in letteratura variano tra una decina e svariate centinaia di euro per tonnellata di CO2. L’ampio spettro dei valori riflette in larga misura le diverse ipotesi sul tasso di sconto utilizzato per attualizzare i danni futuri e il peso relativo da assegnare a quelli che si verificheranno nei paesi a basso reddito, i più esposti agli effetti del cambiamento climatico in virtù della loro posizione geografica.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9146CDBC"/>
    <w:lvl w:ilvl="0">
      <w:start w:val="1"/>
      <w:numFmt w:val="decimal"/>
      <w:pStyle w:val="Numeroelenco2"/>
      <w:lvlText w:val="%1."/>
      <w:lvlJc w:val="left"/>
      <w:pPr>
        <w:tabs>
          <w:tab w:val="num" w:pos="643"/>
        </w:tabs>
        <w:ind w:left="643" w:hanging="360"/>
      </w:pPr>
    </w:lvl>
  </w:abstractNum>
  <w:abstractNum w:abstractNumId="1" w15:restartNumberingAfterBreak="0">
    <w:nsid w:val="06244F75"/>
    <w:multiLevelType w:val="hybridMultilevel"/>
    <w:tmpl w:val="A7669C0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07C00D80"/>
    <w:multiLevelType w:val="singleLevel"/>
    <w:tmpl w:val="7ED29BAC"/>
    <w:lvl w:ilvl="0">
      <w:start w:val="1"/>
      <w:numFmt w:val="bullet"/>
      <w:pStyle w:val="Sommario4"/>
      <w:lvlText w:val="-"/>
      <w:lvlJc w:val="left"/>
      <w:pPr>
        <w:tabs>
          <w:tab w:val="num" w:pos="927"/>
        </w:tabs>
        <w:ind w:left="851" w:hanging="284"/>
      </w:pPr>
      <w:rPr>
        <w:rFonts w:ascii="Arial" w:hAnsi="Arial" w:hint="default"/>
      </w:rPr>
    </w:lvl>
  </w:abstractNum>
  <w:abstractNum w:abstractNumId="3" w15:restartNumberingAfterBreak="0">
    <w:nsid w:val="0C931DE9"/>
    <w:multiLevelType w:val="hybridMultilevel"/>
    <w:tmpl w:val="3A38FB00"/>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4" w15:restartNumberingAfterBreak="0">
    <w:nsid w:val="12660545"/>
    <w:multiLevelType w:val="hybridMultilevel"/>
    <w:tmpl w:val="45A43C1A"/>
    <w:lvl w:ilvl="0" w:tplc="313A0DD6">
      <w:start w:val="1"/>
      <w:numFmt w:val="bullet"/>
      <w:pStyle w:val="Puntoelenco2"/>
      <w:lvlText w:val="-"/>
      <w:lvlJc w:val="left"/>
      <w:pPr>
        <w:ind w:left="644" w:hanging="360"/>
      </w:pPr>
      <w:rPr>
        <w:rFonts w:ascii="Arial" w:hAnsi="Arial" w:cs="Times New Roman" w:hint="default"/>
        <w:b/>
        <w:i w:val="0"/>
        <w:color w:val="auto"/>
        <w:sz w:val="22"/>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5" w15:restartNumberingAfterBreak="0">
    <w:nsid w:val="14954AF2"/>
    <w:multiLevelType w:val="hybridMultilevel"/>
    <w:tmpl w:val="B30A03E4"/>
    <w:styleLink w:val="Stileimportato6"/>
    <w:lvl w:ilvl="0" w:tplc="BD6666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7BC1C2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8245EE6">
      <w:start w:val="1"/>
      <w:numFmt w:val="lowerRoman"/>
      <w:lvlText w:val="%3."/>
      <w:lvlJc w:val="left"/>
      <w:pPr>
        <w:ind w:left="2160" w:hanging="310"/>
      </w:pPr>
      <w:rPr>
        <w:rFonts w:hAnsi="Arial Unicode MS"/>
        <w:caps w:val="0"/>
        <w:smallCaps w:val="0"/>
        <w:strike w:val="0"/>
        <w:dstrike w:val="0"/>
        <w:outline w:val="0"/>
        <w:emboss w:val="0"/>
        <w:imprint w:val="0"/>
        <w:spacing w:val="0"/>
        <w:w w:val="100"/>
        <w:kern w:val="0"/>
        <w:position w:val="0"/>
        <w:highlight w:val="none"/>
        <w:vertAlign w:val="baseline"/>
      </w:rPr>
    </w:lvl>
    <w:lvl w:ilvl="3" w:tplc="129423E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AEDB6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1124DE8">
      <w:start w:val="1"/>
      <w:numFmt w:val="lowerRoman"/>
      <w:lvlText w:val="%6."/>
      <w:lvlJc w:val="left"/>
      <w:pPr>
        <w:ind w:left="4320" w:hanging="310"/>
      </w:pPr>
      <w:rPr>
        <w:rFonts w:hAnsi="Arial Unicode MS"/>
        <w:caps w:val="0"/>
        <w:smallCaps w:val="0"/>
        <w:strike w:val="0"/>
        <w:dstrike w:val="0"/>
        <w:outline w:val="0"/>
        <w:emboss w:val="0"/>
        <w:imprint w:val="0"/>
        <w:spacing w:val="0"/>
        <w:w w:val="100"/>
        <w:kern w:val="0"/>
        <w:position w:val="0"/>
        <w:highlight w:val="none"/>
        <w:vertAlign w:val="baseline"/>
      </w:rPr>
    </w:lvl>
    <w:lvl w:ilvl="6" w:tplc="470647E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D246DE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B04EC90">
      <w:start w:val="1"/>
      <w:numFmt w:val="lowerRoman"/>
      <w:lvlText w:val="%9."/>
      <w:lvlJc w:val="left"/>
      <w:pPr>
        <w:ind w:left="6480" w:hanging="31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23CA3EF5"/>
    <w:multiLevelType w:val="hybridMultilevel"/>
    <w:tmpl w:val="931C34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B255692"/>
    <w:multiLevelType w:val="multilevel"/>
    <w:tmpl w:val="A844EC9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45613E6"/>
    <w:multiLevelType w:val="hybridMultilevel"/>
    <w:tmpl w:val="FCEA2EE4"/>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9" w15:restartNumberingAfterBreak="0">
    <w:nsid w:val="362D0842"/>
    <w:multiLevelType w:val="hybridMultilevel"/>
    <w:tmpl w:val="EFAAFAD2"/>
    <w:lvl w:ilvl="0" w:tplc="D4C65804">
      <w:start w:val="30"/>
      <w:numFmt w:val="bullet"/>
      <w:lvlText w:val="-"/>
      <w:lvlJc w:val="left"/>
      <w:pPr>
        <w:ind w:left="644" w:hanging="360"/>
      </w:pPr>
      <w:rPr>
        <w:rFonts w:ascii="Times New Roman" w:eastAsia="Times New Roman" w:hAnsi="Times New Roman" w:cs="Times New Roman" w:hint="default"/>
        <w:b/>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0" w15:restartNumberingAfterBreak="0">
    <w:nsid w:val="3AC84AEC"/>
    <w:multiLevelType w:val="hybridMultilevel"/>
    <w:tmpl w:val="1B747D2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EC961E3"/>
    <w:multiLevelType w:val="hybridMultilevel"/>
    <w:tmpl w:val="B30A03E4"/>
    <w:numStyleLink w:val="Stileimportato6"/>
  </w:abstractNum>
  <w:abstractNum w:abstractNumId="12" w15:restartNumberingAfterBreak="0">
    <w:nsid w:val="405D7734"/>
    <w:multiLevelType w:val="hybridMultilevel"/>
    <w:tmpl w:val="B09CE61E"/>
    <w:lvl w:ilvl="0" w:tplc="9BB29714">
      <w:start w:val="1"/>
      <w:numFmt w:val="bullet"/>
      <w:pStyle w:val="Puntoelenco1"/>
      <w:lvlText w:val=""/>
      <w:lvlJc w:val="left"/>
      <w:pPr>
        <w:ind w:left="720" w:hanging="360"/>
      </w:pPr>
      <w:rPr>
        <w:rFonts w:ascii="Wingdings" w:hAnsi="Wingdings" w:hint="default"/>
        <w:b w:val="0"/>
        <w:i w:val="0"/>
        <w:color w:val="auto"/>
        <w:kern w:val="0"/>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4617E0B"/>
    <w:multiLevelType w:val="hybridMultilevel"/>
    <w:tmpl w:val="C2D85958"/>
    <w:lvl w:ilvl="0" w:tplc="02EA2EB8">
      <w:start w:val="18"/>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403406D"/>
    <w:multiLevelType w:val="hybridMultilevel"/>
    <w:tmpl w:val="9FFE56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EC918E5"/>
    <w:multiLevelType w:val="hybridMultilevel"/>
    <w:tmpl w:val="81E25C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7B72D1A"/>
    <w:multiLevelType w:val="hybridMultilevel"/>
    <w:tmpl w:val="20F4B1C4"/>
    <w:lvl w:ilvl="0" w:tplc="090AFEFE">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7" w15:restartNumberingAfterBreak="0">
    <w:nsid w:val="6E465222"/>
    <w:multiLevelType w:val="hybridMultilevel"/>
    <w:tmpl w:val="60B0DA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2C53EFA"/>
    <w:multiLevelType w:val="hybridMultilevel"/>
    <w:tmpl w:val="7924BD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7961818"/>
    <w:multiLevelType w:val="hybridMultilevel"/>
    <w:tmpl w:val="A9F81B8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78B33A1F"/>
    <w:multiLevelType w:val="singleLevel"/>
    <w:tmpl w:val="67A6C536"/>
    <w:lvl w:ilvl="0">
      <w:start w:val="1"/>
      <w:numFmt w:val="bullet"/>
      <w:pStyle w:val="Sommario3"/>
      <w:lvlText w:val=""/>
      <w:lvlJc w:val="left"/>
      <w:pPr>
        <w:tabs>
          <w:tab w:val="num" w:pos="644"/>
        </w:tabs>
        <w:ind w:left="567" w:hanging="283"/>
      </w:pPr>
      <w:rPr>
        <w:rFonts w:ascii="Wingdings" w:hAnsi="Wingdings" w:hint="default"/>
      </w:rPr>
    </w:lvl>
  </w:abstractNum>
  <w:num w:numId="1" w16cid:durableId="1671954956">
    <w:abstractNumId w:val="6"/>
  </w:num>
  <w:num w:numId="2" w16cid:durableId="727652519">
    <w:abstractNumId w:val="15"/>
  </w:num>
  <w:num w:numId="3" w16cid:durableId="1411540025">
    <w:abstractNumId w:val="17"/>
  </w:num>
  <w:num w:numId="4" w16cid:durableId="1583178991">
    <w:abstractNumId w:val="18"/>
  </w:num>
  <w:num w:numId="5" w16cid:durableId="1418403691">
    <w:abstractNumId w:val="14"/>
  </w:num>
  <w:num w:numId="6" w16cid:durableId="1371297000">
    <w:abstractNumId w:val="7"/>
  </w:num>
  <w:num w:numId="7" w16cid:durableId="878320653">
    <w:abstractNumId w:val="10"/>
  </w:num>
  <w:num w:numId="8" w16cid:durableId="1514109514">
    <w:abstractNumId w:val="13"/>
  </w:num>
  <w:num w:numId="9" w16cid:durableId="1073773452">
    <w:abstractNumId w:val="0"/>
  </w:num>
  <w:num w:numId="10" w16cid:durableId="159544109">
    <w:abstractNumId w:val="2"/>
  </w:num>
  <w:num w:numId="11" w16cid:durableId="225841444">
    <w:abstractNumId w:val="20"/>
  </w:num>
  <w:num w:numId="12" w16cid:durableId="825436586">
    <w:abstractNumId w:val="4"/>
  </w:num>
  <w:num w:numId="13" w16cid:durableId="1187717729">
    <w:abstractNumId w:val="12"/>
  </w:num>
  <w:num w:numId="14" w16cid:durableId="317536117">
    <w:abstractNumId w:val="16"/>
  </w:num>
  <w:num w:numId="15" w16cid:durableId="645202530">
    <w:abstractNumId w:val="1"/>
  </w:num>
  <w:num w:numId="16" w16cid:durableId="1656303898">
    <w:abstractNumId w:val="1"/>
  </w:num>
  <w:num w:numId="17" w16cid:durableId="1389571477">
    <w:abstractNumId w:val="8"/>
  </w:num>
  <w:num w:numId="18" w16cid:durableId="1686513358">
    <w:abstractNumId w:val="19"/>
  </w:num>
  <w:num w:numId="19" w16cid:durableId="482043201">
    <w:abstractNumId w:val="9"/>
  </w:num>
  <w:num w:numId="20" w16cid:durableId="183980568">
    <w:abstractNumId w:val="3"/>
  </w:num>
  <w:num w:numId="21" w16cid:durableId="289632853">
    <w:abstractNumId w:val="5"/>
  </w:num>
  <w:num w:numId="22" w16cid:durableId="2051100676">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41A"/>
    <w:rsid w:val="0000058D"/>
    <w:rsid w:val="00013034"/>
    <w:rsid w:val="00017052"/>
    <w:rsid w:val="0002408F"/>
    <w:rsid w:val="0002625E"/>
    <w:rsid w:val="000277D4"/>
    <w:rsid w:val="000300ED"/>
    <w:rsid w:val="0003020C"/>
    <w:rsid w:val="00034511"/>
    <w:rsid w:val="00040866"/>
    <w:rsid w:val="00045DF7"/>
    <w:rsid w:val="0005048B"/>
    <w:rsid w:val="000520CA"/>
    <w:rsid w:val="00055773"/>
    <w:rsid w:val="0008497D"/>
    <w:rsid w:val="00093EAD"/>
    <w:rsid w:val="00096DCA"/>
    <w:rsid w:val="000A124F"/>
    <w:rsid w:val="000B0947"/>
    <w:rsid w:val="000B3883"/>
    <w:rsid w:val="000B64DF"/>
    <w:rsid w:val="000C484A"/>
    <w:rsid w:val="000F204A"/>
    <w:rsid w:val="000F493D"/>
    <w:rsid w:val="00102E5B"/>
    <w:rsid w:val="00127807"/>
    <w:rsid w:val="001373B6"/>
    <w:rsid w:val="001425AC"/>
    <w:rsid w:val="00153512"/>
    <w:rsid w:val="001556C7"/>
    <w:rsid w:val="001634E2"/>
    <w:rsid w:val="00172D5F"/>
    <w:rsid w:val="00177701"/>
    <w:rsid w:val="001A2245"/>
    <w:rsid w:val="001A2698"/>
    <w:rsid w:val="001A4A7D"/>
    <w:rsid w:val="001A68ED"/>
    <w:rsid w:val="001A7786"/>
    <w:rsid w:val="001B2B3E"/>
    <w:rsid w:val="001C46D3"/>
    <w:rsid w:val="001C5103"/>
    <w:rsid w:val="001C548C"/>
    <w:rsid w:val="001D0ED4"/>
    <w:rsid w:val="001D2C55"/>
    <w:rsid w:val="001F1121"/>
    <w:rsid w:val="0020115B"/>
    <w:rsid w:val="002025AF"/>
    <w:rsid w:val="00203866"/>
    <w:rsid w:val="00215AB4"/>
    <w:rsid w:val="0022063D"/>
    <w:rsid w:val="0023086C"/>
    <w:rsid w:val="00240486"/>
    <w:rsid w:val="002421B2"/>
    <w:rsid w:val="002430A7"/>
    <w:rsid w:val="002463A3"/>
    <w:rsid w:val="00254008"/>
    <w:rsid w:val="00254448"/>
    <w:rsid w:val="002554FD"/>
    <w:rsid w:val="0025702B"/>
    <w:rsid w:val="00260594"/>
    <w:rsid w:val="002739D0"/>
    <w:rsid w:val="002740AD"/>
    <w:rsid w:val="00274F41"/>
    <w:rsid w:val="002809BB"/>
    <w:rsid w:val="00282FCA"/>
    <w:rsid w:val="002946E3"/>
    <w:rsid w:val="0029772A"/>
    <w:rsid w:val="002A5FA5"/>
    <w:rsid w:val="002B2163"/>
    <w:rsid w:val="002D5386"/>
    <w:rsid w:val="002F30D8"/>
    <w:rsid w:val="0030211A"/>
    <w:rsid w:val="003028BE"/>
    <w:rsid w:val="00306148"/>
    <w:rsid w:val="00313D70"/>
    <w:rsid w:val="00317B5A"/>
    <w:rsid w:val="00321F58"/>
    <w:rsid w:val="00331866"/>
    <w:rsid w:val="003445CB"/>
    <w:rsid w:val="00344A53"/>
    <w:rsid w:val="003459DC"/>
    <w:rsid w:val="00347A23"/>
    <w:rsid w:val="00364876"/>
    <w:rsid w:val="003662A3"/>
    <w:rsid w:val="00371480"/>
    <w:rsid w:val="003726F0"/>
    <w:rsid w:val="00372F4B"/>
    <w:rsid w:val="00373B67"/>
    <w:rsid w:val="00375DF9"/>
    <w:rsid w:val="003808D2"/>
    <w:rsid w:val="0038492D"/>
    <w:rsid w:val="003B6B9E"/>
    <w:rsid w:val="003D169C"/>
    <w:rsid w:val="003E3B5E"/>
    <w:rsid w:val="003F1570"/>
    <w:rsid w:val="00414A46"/>
    <w:rsid w:val="004220FF"/>
    <w:rsid w:val="00437F04"/>
    <w:rsid w:val="004619FE"/>
    <w:rsid w:val="00472436"/>
    <w:rsid w:val="00475C12"/>
    <w:rsid w:val="00482E50"/>
    <w:rsid w:val="00495650"/>
    <w:rsid w:val="004A0D9C"/>
    <w:rsid w:val="004A1A4C"/>
    <w:rsid w:val="004A2B7F"/>
    <w:rsid w:val="004A43F6"/>
    <w:rsid w:val="004B3CF3"/>
    <w:rsid w:val="004B7537"/>
    <w:rsid w:val="004D2D90"/>
    <w:rsid w:val="004E3694"/>
    <w:rsid w:val="004E3BA1"/>
    <w:rsid w:val="004E507E"/>
    <w:rsid w:val="004F17A0"/>
    <w:rsid w:val="00505C47"/>
    <w:rsid w:val="0051294C"/>
    <w:rsid w:val="005350BB"/>
    <w:rsid w:val="00537CF8"/>
    <w:rsid w:val="005532D8"/>
    <w:rsid w:val="00567047"/>
    <w:rsid w:val="00572C13"/>
    <w:rsid w:val="0057791E"/>
    <w:rsid w:val="00583C1B"/>
    <w:rsid w:val="00586F46"/>
    <w:rsid w:val="005947D6"/>
    <w:rsid w:val="00595077"/>
    <w:rsid w:val="00595DCB"/>
    <w:rsid w:val="005A10A8"/>
    <w:rsid w:val="005A1572"/>
    <w:rsid w:val="005A217D"/>
    <w:rsid w:val="005A61BE"/>
    <w:rsid w:val="005B0B81"/>
    <w:rsid w:val="005C7A75"/>
    <w:rsid w:val="005D0117"/>
    <w:rsid w:val="005D7EF8"/>
    <w:rsid w:val="005E6CE7"/>
    <w:rsid w:val="005F4FFE"/>
    <w:rsid w:val="005F7E11"/>
    <w:rsid w:val="00604270"/>
    <w:rsid w:val="00615261"/>
    <w:rsid w:val="006154B1"/>
    <w:rsid w:val="0062798A"/>
    <w:rsid w:val="0063224A"/>
    <w:rsid w:val="00641414"/>
    <w:rsid w:val="00666094"/>
    <w:rsid w:val="00671309"/>
    <w:rsid w:val="00672735"/>
    <w:rsid w:val="0067598B"/>
    <w:rsid w:val="006963FE"/>
    <w:rsid w:val="006A4ABE"/>
    <w:rsid w:val="006B37C8"/>
    <w:rsid w:val="006B6A67"/>
    <w:rsid w:val="006C6B94"/>
    <w:rsid w:val="006D0741"/>
    <w:rsid w:val="006D0D40"/>
    <w:rsid w:val="006D617F"/>
    <w:rsid w:val="006F59E8"/>
    <w:rsid w:val="006F5C49"/>
    <w:rsid w:val="006F6EB0"/>
    <w:rsid w:val="00711667"/>
    <w:rsid w:val="00714C5F"/>
    <w:rsid w:val="007157A9"/>
    <w:rsid w:val="0071608A"/>
    <w:rsid w:val="00723A92"/>
    <w:rsid w:val="007479E7"/>
    <w:rsid w:val="0075039C"/>
    <w:rsid w:val="00752D5B"/>
    <w:rsid w:val="0075502E"/>
    <w:rsid w:val="00764E31"/>
    <w:rsid w:val="00765035"/>
    <w:rsid w:val="00765B25"/>
    <w:rsid w:val="0077160C"/>
    <w:rsid w:val="0077427C"/>
    <w:rsid w:val="00775C02"/>
    <w:rsid w:val="0077704F"/>
    <w:rsid w:val="0079169C"/>
    <w:rsid w:val="00793129"/>
    <w:rsid w:val="007A13D4"/>
    <w:rsid w:val="007A4215"/>
    <w:rsid w:val="007A6A73"/>
    <w:rsid w:val="007B3E5E"/>
    <w:rsid w:val="007D1930"/>
    <w:rsid w:val="007D3F93"/>
    <w:rsid w:val="007E2CE3"/>
    <w:rsid w:val="007E2DDC"/>
    <w:rsid w:val="007F07BE"/>
    <w:rsid w:val="0080295D"/>
    <w:rsid w:val="0080611E"/>
    <w:rsid w:val="008116B0"/>
    <w:rsid w:val="00811DDF"/>
    <w:rsid w:val="00830FFF"/>
    <w:rsid w:val="0083789C"/>
    <w:rsid w:val="00843EF6"/>
    <w:rsid w:val="00844ECD"/>
    <w:rsid w:val="008476BE"/>
    <w:rsid w:val="00847FDD"/>
    <w:rsid w:val="00853D0B"/>
    <w:rsid w:val="00862F6C"/>
    <w:rsid w:val="0087351A"/>
    <w:rsid w:val="00883625"/>
    <w:rsid w:val="0088469F"/>
    <w:rsid w:val="008906BB"/>
    <w:rsid w:val="00892580"/>
    <w:rsid w:val="00897838"/>
    <w:rsid w:val="008B4C0A"/>
    <w:rsid w:val="008C0FAF"/>
    <w:rsid w:val="008C6580"/>
    <w:rsid w:val="008D78A7"/>
    <w:rsid w:val="008E1514"/>
    <w:rsid w:val="00901FE4"/>
    <w:rsid w:val="00922FC1"/>
    <w:rsid w:val="00934F1D"/>
    <w:rsid w:val="0094487C"/>
    <w:rsid w:val="00947404"/>
    <w:rsid w:val="0096330E"/>
    <w:rsid w:val="00970B85"/>
    <w:rsid w:val="00974D88"/>
    <w:rsid w:val="009766E0"/>
    <w:rsid w:val="009815B5"/>
    <w:rsid w:val="00985730"/>
    <w:rsid w:val="0099637D"/>
    <w:rsid w:val="009A4070"/>
    <w:rsid w:val="009A58E9"/>
    <w:rsid w:val="009C2AB2"/>
    <w:rsid w:val="009F520A"/>
    <w:rsid w:val="00A064C2"/>
    <w:rsid w:val="00A10A60"/>
    <w:rsid w:val="00A11338"/>
    <w:rsid w:val="00A41C90"/>
    <w:rsid w:val="00A50938"/>
    <w:rsid w:val="00A5327C"/>
    <w:rsid w:val="00A57FCC"/>
    <w:rsid w:val="00A7523F"/>
    <w:rsid w:val="00AA1CE9"/>
    <w:rsid w:val="00AB0878"/>
    <w:rsid w:val="00AB14A9"/>
    <w:rsid w:val="00AB5230"/>
    <w:rsid w:val="00AB648F"/>
    <w:rsid w:val="00AB7912"/>
    <w:rsid w:val="00AE1C59"/>
    <w:rsid w:val="00AE7034"/>
    <w:rsid w:val="00AE7DE7"/>
    <w:rsid w:val="00AF4116"/>
    <w:rsid w:val="00B0168B"/>
    <w:rsid w:val="00B0738E"/>
    <w:rsid w:val="00B14210"/>
    <w:rsid w:val="00B1555A"/>
    <w:rsid w:val="00B207CE"/>
    <w:rsid w:val="00B25485"/>
    <w:rsid w:val="00B2587F"/>
    <w:rsid w:val="00B33E2E"/>
    <w:rsid w:val="00B46F2B"/>
    <w:rsid w:val="00B54D83"/>
    <w:rsid w:val="00B7392D"/>
    <w:rsid w:val="00B77308"/>
    <w:rsid w:val="00B77997"/>
    <w:rsid w:val="00B77D4D"/>
    <w:rsid w:val="00B85677"/>
    <w:rsid w:val="00BA0075"/>
    <w:rsid w:val="00BA0A9A"/>
    <w:rsid w:val="00BB0F8B"/>
    <w:rsid w:val="00BB7040"/>
    <w:rsid w:val="00BB7B07"/>
    <w:rsid w:val="00BC4B16"/>
    <w:rsid w:val="00BF6030"/>
    <w:rsid w:val="00C10B5C"/>
    <w:rsid w:val="00C22D49"/>
    <w:rsid w:val="00C24C68"/>
    <w:rsid w:val="00C37A6C"/>
    <w:rsid w:val="00C4346C"/>
    <w:rsid w:val="00C51498"/>
    <w:rsid w:val="00C55135"/>
    <w:rsid w:val="00C575E0"/>
    <w:rsid w:val="00C62815"/>
    <w:rsid w:val="00C64D16"/>
    <w:rsid w:val="00C74781"/>
    <w:rsid w:val="00C8711B"/>
    <w:rsid w:val="00CB1C97"/>
    <w:rsid w:val="00CC5F90"/>
    <w:rsid w:val="00CD0EA9"/>
    <w:rsid w:val="00CD16B6"/>
    <w:rsid w:val="00CD32A1"/>
    <w:rsid w:val="00CD7280"/>
    <w:rsid w:val="00CE6674"/>
    <w:rsid w:val="00CF3323"/>
    <w:rsid w:val="00D00FFE"/>
    <w:rsid w:val="00D02832"/>
    <w:rsid w:val="00D04C2C"/>
    <w:rsid w:val="00D14353"/>
    <w:rsid w:val="00D16DB0"/>
    <w:rsid w:val="00D20663"/>
    <w:rsid w:val="00D25272"/>
    <w:rsid w:val="00D30B9C"/>
    <w:rsid w:val="00D35DA5"/>
    <w:rsid w:val="00D43F71"/>
    <w:rsid w:val="00D476AE"/>
    <w:rsid w:val="00D518A0"/>
    <w:rsid w:val="00D5733A"/>
    <w:rsid w:val="00D63209"/>
    <w:rsid w:val="00D632CF"/>
    <w:rsid w:val="00D72D4D"/>
    <w:rsid w:val="00D746BB"/>
    <w:rsid w:val="00D770FD"/>
    <w:rsid w:val="00D86B07"/>
    <w:rsid w:val="00DA180C"/>
    <w:rsid w:val="00DA43F5"/>
    <w:rsid w:val="00DB6260"/>
    <w:rsid w:val="00DB62DF"/>
    <w:rsid w:val="00DC3D41"/>
    <w:rsid w:val="00DC7E39"/>
    <w:rsid w:val="00DD0904"/>
    <w:rsid w:val="00DD4058"/>
    <w:rsid w:val="00DD512F"/>
    <w:rsid w:val="00DF31EC"/>
    <w:rsid w:val="00DF4F06"/>
    <w:rsid w:val="00DF736B"/>
    <w:rsid w:val="00E0365C"/>
    <w:rsid w:val="00E1358B"/>
    <w:rsid w:val="00E203C5"/>
    <w:rsid w:val="00E34485"/>
    <w:rsid w:val="00E40DC2"/>
    <w:rsid w:val="00E45DBA"/>
    <w:rsid w:val="00E479ED"/>
    <w:rsid w:val="00E51446"/>
    <w:rsid w:val="00E56A0C"/>
    <w:rsid w:val="00E57091"/>
    <w:rsid w:val="00E57D52"/>
    <w:rsid w:val="00E70D5B"/>
    <w:rsid w:val="00E72265"/>
    <w:rsid w:val="00E73BA6"/>
    <w:rsid w:val="00E813ED"/>
    <w:rsid w:val="00E81F49"/>
    <w:rsid w:val="00EA30C7"/>
    <w:rsid w:val="00EA656E"/>
    <w:rsid w:val="00EB1225"/>
    <w:rsid w:val="00EB4E60"/>
    <w:rsid w:val="00EB63AC"/>
    <w:rsid w:val="00EB673B"/>
    <w:rsid w:val="00EC341A"/>
    <w:rsid w:val="00EC462E"/>
    <w:rsid w:val="00EC7BE6"/>
    <w:rsid w:val="00ED16A6"/>
    <w:rsid w:val="00EE3C88"/>
    <w:rsid w:val="00EE5F20"/>
    <w:rsid w:val="00EF2441"/>
    <w:rsid w:val="00EF3550"/>
    <w:rsid w:val="00F01088"/>
    <w:rsid w:val="00F06033"/>
    <w:rsid w:val="00F136A4"/>
    <w:rsid w:val="00F25F00"/>
    <w:rsid w:val="00F26BE7"/>
    <w:rsid w:val="00F27F4F"/>
    <w:rsid w:val="00F33C33"/>
    <w:rsid w:val="00F6724B"/>
    <w:rsid w:val="00F73805"/>
    <w:rsid w:val="00F758D6"/>
    <w:rsid w:val="00F8711E"/>
    <w:rsid w:val="00F9328C"/>
    <w:rsid w:val="00FA7CAB"/>
    <w:rsid w:val="00FB06F0"/>
    <w:rsid w:val="00FB537D"/>
    <w:rsid w:val="00FB62CC"/>
    <w:rsid w:val="00FB724A"/>
    <w:rsid w:val="00FC3CA1"/>
    <w:rsid w:val="00FC61F7"/>
    <w:rsid w:val="00FF1D5C"/>
    <w:rsid w:val="00FF2293"/>
    <w:rsid w:val="00FF5FB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1C432"/>
  <w15:docId w15:val="{608345F1-AE02-465F-8207-0322E11DF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D0741"/>
    <w:pPr>
      <w:spacing w:after="0" w:line="300" w:lineRule="atLeast"/>
      <w:ind w:firstLine="284"/>
      <w:jc w:val="both"/>
    </w:pPr>
    <w:rPr>
      <w:rFonts w:ascii="Arial" w:eastAsia="Times New Roman" w:hAnsi="Arial" w:cs="Times New Roman"/>
      <w:szCs w:val="20"/>
      <w:lang w:eastAsia="it-IT"/>
    </w:rPr>
  </w:style>
  <w:style w:type="paragraph" w:styleId="Titolo1">
    <w:name w:val="heading 1"/>
    <w:basedOn w:val="Normale"/>
    <w:next w:val="Normale"/>
    <w:link w:val="Titolo1Carattere"/>
    <w:qFormat/>
    <w:rsid w:val="00EC341A"/>
    <w:pPr>
      <w:keepNext/>
      <w:spacing w:before="240" w:after="60" w:line="276" w:lineRule="auto"/>
      <w:ind w:firstLine="0"/>
      <w:jc w:val="center"/>
      <w:outlineLvl w:val="0"/>
    </w:pPr>
    <w:rPr>
      <w:rFonts w:ascii="Times New Roman" w:eastAsiaTheme="majorEastAsia" w:hAnsi="Times New Roman" w:cstheme="majorBidi"/>
      <w:b/>
      <w:bCs/>
      <w:kern w:val="32"/>
      <w:sz w:val="28"/>
      <w:szCs w:val="32"/>
    </w:rPr>
  </w:style>
  <w:style w:type="paragraph" w:styleId="Titolo2">
    <w:name w:val="heading 2"/>
    <w:basedOn w:val="Normale"/>
    <w:next w:val="Normale"/>
    <w:link w:val="Titolo2Carattere"/>
    <w:qFormat/>
    <w:rsid w:val="002809BB"/>
    <w:pPr>
      <w:keepNext/>
      <w:spacing w:before="480" w:after="240" w:line="240" w:lineRule="auto"/>
      <w:ind w:left="284" w:hanging="284"/>
      <w:jc w:val="left"/>
      <w:outlineLvl w:val="1"/>
    </w:pPr>
    <w:rPr>
      <w:rFonts w:ascii="Times New Roman" w:hAnsi="Times New Roman"/>
      <w:b/>
      <w:sz w:val="28"/>
    </w:rPr>
  </w:style>
  <w:style w:type="paragraph" w:styleId="Titolo3">
    <w:name w:val="heading 3"/>
    <w:basedOn w:val="Normale"/>
    <w:next w:val="Normale"/>
    <w:link w:val="Titolo3Carattere"/>
    <w:unhideWhenUsed/>
    <w:qFormat/>
    <w:rsid w:val="002809BB"/>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itolo4">
    <w:name w:val="heading 4"/>
    <w:basedOn w:val="Normale"/>
    <w:next w:val="Normale"/>
    <w:link w:val="Titolo4Carattere"/>
    <w:rsid w:val="002809BB"/>
    <w:pPr>
      <w:keepNext/>
      <w:spacing w:before="240" w:after="180" w:line="240" w:lineRule="auto"/>
      <w:ind w:left="568" w:hanging="284"/>
      <w:jc w:val="left"/>
      <w:outlineLvl w:val="3"/>
    </w:pPr>
    <w:rPr>
      <w:rFonts w:ascii="Times New Roman" w:hAnsi="Times New Roman"/>
      <w:i/>
      <w:sz w:val="26"/>
    </w:rPr>
  </w:style>
  <w:style w:type="paragraph" w:styleId="Titolo5">
    <w:name w:val="heading 5"/>
    <w:basedOn w:val="Normale"/>
    <w:next w:val="Normale"/>
    <w:link w:val="Titolo5Carattere"/>
    <w:rsid w:val="002809BB"/>
    <w:pPr>
      <w:keepNext/>
      <w:spacing w:before="180" w:after="60" w:line="240" w:lineRule="auto"/>
      <w:ind w:left="568" w:hanging="284"/>
      <w:jc w:val="left"/>
      <w:outlineLvl w:val="4"/>
    </w:pPr>
    <w:rPr>
      <w:rFonts w:ascii="Times New Roman" w:hAnsi="Times New Roman"/>
      <w:sz w:val="26"/>
      <w:u w:val="single"/>
    </w:rPr>
  </w:style>
  <w:style w:type="paragraph" w:styleId="Titolo6">
    <w:name w:val="heading 6"/>
    <w:basedOn w:val="Normale"/>
    <w:next w:val="Normale"/>
    <w:link w:val="Titolo6Carattere"/>
    <w:rsid w:val="002809BB"/>
    <w:pPr>
      <w:spacing w:before="240" w:after="60" w:line="240" w:lineRule="auto"/>
      <w:outlineLvl w:val="5"/>
    </w:pPr>
    <w:rPr>
      <w:rFonts w:ascii="Times New Roman" w:hAnsi="Times New Roman"/>
      <w:i/>
      <w:sz w:val="26"/>
    </w:rPr>
  </w:style>
  <w:style w:type="paragraph" w:styleId="Titolo7">
    <w:name w:val="heading 7"/>
    <w:basedOn w:val="Normale"/>
    <w:next w:val="Normale"/>
    <w:link w:val="Titolo7Carattere"/>
    <w:rsid w:val="002809BB"/>
    <w:pPr>
      <w:spacing w:before="240" w:after="60" w:line="240" w:lineRule="auto"/>
      <w:outlineLvl w:val="6"/>
    </w:pPr>
    <w:rPr>
      <w:rFonts w:ascii="Times New Roman" w:hAnsi="Times New Roman"/>
      <w:sz w:val="20"/>
    </w:rPr>
  </w:style>
  <w:style w:type="paragraph" w:styleId="Titolo8">
    <w:name w:val="heading 8"/>
    <w:basedOn w:val="Normale"/>
    <w:next w:val="Normale"/>
    <w:link w:val="Titolo8Carattere"/>
    <w:rsid w:val="002809BB"/>
    <w:pPr>
      <w:spacing w:before="240" w:after="60" w:line="240" w:lineRule="auto"/>
      <w:outlineLvl w:val="7"/>
    </w:pPr>
    <w:rPr>
      <w:rFonts w:ascii="Times New Roman" w:hAnsi="Times New Roman"/>
      <w:i/>
      <w:sz w:val="20"/>
    </w:rPr>
  </w:style>
  <w:style w:type="paragraph" w:styleId="Titolo9">
    <w:name w:val="heading 9"/>
    <w:basedOn w:val="Normale"/>
    <w:next w:val="Normale"/>
    <w:link w:val="Titolo9Carattere"/>
    <w:rsid w:val="002809BB"/>
    <w:pPr>
      <w:spacing w:before="240" w:after="60" w:line="240" w:lineRule="auto"/>
      <w:outlineLvl w:val="8"/>
    </w:pPr>
    <w:rPr>
      <w:rFonts w:ascii="Times New Roman" w:hAnsi="Times New Roman"/>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aliases w:val="Punto elenco 1,Lapis Bulleted List,List Paragraph (numbered (a)),List Paragraph12,CV text,Bullets,3,titulo 3,Párrafo de lista1,normal,References,WB List Paragraph,Normal11,Bullet List,Dot pt,No Spacing1,List Paragraph Char Char Char,L"/>
    <w:basedOn w:val="Normale"/>
    <w:link w:val="ParagrafoelencoCarattere"/>
    <w:uiPriority w:val="34"/>
    <w:qFormat/>
    <w:rsid w:val="00EC341A"/>
    <w:pPr>
      <w:ind w:left="720"/>
      <w:contextualSpacing/>
    </w:pPr>
  </w:style>
  <w:style w:type="character" w:customStyle="1" w:styleId="Titolo1Carattere">
    <w:name w:val="Titolo 1 Carattere"/>
    <w:basedOn w:val="Carpredefinitoparagrafo"/>
    <w:link w:val="Titolo1"/>
    <w:rsid w:val="00EC341A"/>
    <w:rPr>
      <w:rFonts w:ascii="Times New Roman" w:eastAsiaTheme="majorEastAsia" w:hAnsi="Times New Roman" w:cstheme="majorBidi"/>
      <w:b/>
      <w:bCs/>
      <w:kern w:val="32"/>
      <w:sz w:val="28"/>
      <w:szCs w:val="32"/>
      <w:lang w:eastAsia="it-IT"/>
    </w:rPr>
  </w:style>
  <w:style w:type="character" w:styleId="Rimandonotaapidipagina">
    <w:name w:val="footnote reference"/>
    <w:aliases w:val="(Footnote Reference),SUPERS,EN Footnote Reference,Footnote symbol,Footnote,Footnote number,fr,o,Footnotemark,FR,Footnotemark1,Footnotemark2,FR1,Footnotemark3,FR2,Footnotemark4,FR3,Footnotemark5,FR4,Footnotemark6,note TESI"/>
    <w:uiPriority w:val="99"/>
    <w:qFormat/>
    <w:rsid w:val="00D30B9C"/>
    <w:rPr>
      <w:vertAlign w:val="superscript"/>
    </w:rPr>
  </w:style>
  <w:style w:type="paragraph" w:styleId="Testonotaapidipagina">
    <w:name w:val="footnote text"/>
    <w:basedOn w:val="Normale"/>
    <w:link w:val="TestonotaapidipaginaCarattere"/>
    <w:rsid w:val="00D30B9C"/>
    <w:pPr>
      <w:spacing w:after="160" w:line="240" w:lineRule="auto"/>
      <w:ind w:left="284" w:hanging="284"/>
      <w:jc w:val="left"/>
    </w:pPr>
    <w:rPr>
      <w:rFonts w:asciiTheme="minorHAnsi" w:eastAsiaTheme="minorHAnsi" w:hAnsiTheme="minorHAnsi" w:cstheme="minorBidi"/>
      <w:sz w:val="18"/>
      <w:szCs w:val="22"/>
      <w:lang w:eastAsia="en-US"/>
    </w:rPr>
  </w:style>
  <w:style w:type="character" w:customStyle="1" w:styleId="TestonotaapidipaginaCarattere">
    <w:name w:val="Testo nota a piè di pagina Carattere"/>
    <w:basedOn w:val="Carpredefinitoparagrafo"/>
    <w:link w:val="Testonotaapidipagina"/>
    <w:rsid w:val="00D30B9C"/>
    <w:rPr>
      <w:sz w:val="18"/>
    </w:rPr>
  </w:style>
  <w:style w:type="character" w:styleId="Collegamentoipertestuale">
    <w:name w:val="Hyperlink"/>
    <w:basedOn w:val="Carpredefinitoparagrafo"/>
    <w:uiPriority w:val="99"/>
    <w:unhideWhenUsed/>
    <w:rsid w:val="00D30B9C"/>
    <w:rPr>
      <w:color w:val="0563C1" w:themeColor="hyperlink"/>
      <w:u w:val="single"/>
    </w:rPr>
  </w:style>
  <w:style w:type="character" w:customStyle="1" w:styleId="Titolo3Carattere">
    <w:name w:val="Titolo 3 Carattere"/>
    <w:basedOn w:val="Carpredefinitoparagrafo"/>
    <w:link w:val="Titolo3"/>
    <w:uiPriority w:val="9"/>
    <w:semiHidden/>
    <w:rsid w:val="002809BB"/>
    <w:rPr>
      <w:rFonts w:asciiTheme="majorHAnsi" w:eastAsiaTheme="majorEastAsia" w:hAnsiTheme="majorHAnsi" w:cstheme="majorBidi"/>
      <w:color w:val="1F4D78" w:themeColor="accent1" w:themeShade="7F"/>
      <w:sz w:val="24"/>
      <w:szCs w:val="24"/>
      <w:lang w:eastAsia="it-IT"/>
    </w:rPr>
  </w:style>
  <w:style w:type="character" w:customStyle="1" w:styleId="Titolo2Carattere">
    <w:name w:val="Titolo 2 Carattere"/>
    <w:basedOn w:val="Carpredefinitoparagrafo"/>
    <w:link w:val="Titolo2"/>
    <w:rsid w:val="002809BB"/>
    <w:rPr>
      <w:rFonts w:ascii="Times New Roman" w:eastAsia="Times New Roman" w:hAnsi="Times New Roman" w:cs="Times New Roman"/>
      <w:b/>
      <w:sz w:val="28"/>
      <w:szCs w:val="20"/>
      <w:lang w:eastAsia="it-IT"/>
    </w:rPr>
  </w:style>
  <w:style w:type="character" w:customStyle="1" w:styleId="Titolo4Carattere">
    <w:name w:val="Titolo 4 Carattere"/>
    <w:basedOn w:val="Carpredefinitoparagrafo"/>
    <w:link w:val="Titolo4"/>
    <w:rsid w:val="002809BB"/>
    <w:rPr>
      <w:rFonts w:ascii="Times New Roman" w:eastAsia="Times New Roman" w:hAnsi="Times New Roman" w:cs="Times New Roman"/>
      <w:i/>
      <w:sz w:val="26"/>
      <w:szCs w:val="20"/>
      <w:lang w:eastAsia="it-IT"/>
    </w:rPr>
  </w:style>
  <w:style w:type="character" w:customStyle="1" w:styleId="Titolo5Carattere">
    <w:name w:val="Titolo 5 Carattere"/>
    <w:basedOn w:val="Carpredefinitoparagrafo"/>
    <w:link w:val="Titolo5"/>
    <w:rsid w:val="002809BB"/>
    <w:rPr>
      <w:rFonts w:ascii="Times New Roman" w:eastAsia="Times New Roman" w:hAnsi="Times New Roman" w:cs="Times New Roman"/>
      <w:sz w:val="26"/>
      <w:szCs w:val="20"/>
      <w:u w:val="single"/>
      <w:lang w:eastAsia="it-IT"/>
    </w:rPr>
  </w:style>
  <w:style w:type="character" w:customStyle="1" w:styleId="Titolo6Carattere">
    <w:name w:val="Titolo 6 Carattere"/>
    <w:basedOn w:val="Carpredefinitoparagrafo"/>
    <w:link w:val="Titolo6"/>
    <w:rsid w:val="002809BB"/>
    <w:rPr>
      <w:rFonts w:ascii="Times New Roman" w:eastAsia="Times New Roman" w:hAnsi="Times New Roman" w:cs="Times New Roman"/>
      <w:i/>
      <w:sz w:val="26"/>
      <w:szCs w:val="20"/>
      <w:lang w:eastAsia="it-IT"/>
    </w:rPr>
  </w:style>
  <w:style w:type="character" w:customStyle="1" w:styleId="Titolo7Carattere">
    <w:name w:val="Titolo 7 Carattere"/>
    <w:basedOn w:val="Carpredefinitoparagrafo"/>
    <w:link w:val="Titolo7"/>
    <w:rsid w:val="002809BB"/>
    <w:rPr>
      <w:rFonts w:ascii="Times New Roman" w:eastAsia="Times New Roman" w:hAnsi="Times New Roman" w:cs="Times New Roman"/>
      <w:sz w:val="20"/>
      <w:szCs w:val="20"/>
      <w:lang w:eastAsia="it-IT"/>
    </w:rPr>
  </w:style>
  <w:style w:type="character" w:customStyle="1" w:styleId="Titolo8Carattere">
    <w:name w:val="Titolo 8 Carattere"/>
    <w:basedOn w:val="Carpredefinitoparagrafo"/>
    <w:link w:val="Titolo8"/>
    <w:rsid w:val="002809BB"/>
    <w:rPr>
      <w:rFonts w:ascii="Times New Roman" w:eastAsia="Times New Roman" w:hAnsi="Times New Roman" w:cs="Times New Roman"/>
      <w:i/>
      <w:sz w:val="20"/>
      <w:szCs w:val="20"/>
      <w:lang w:eastAsia="it-IT"/>
    </w:rPr>
  </w:style>
  <w:style w:type="character" w:customStyle="1" w:styleId="Titolo9Carattere">
    <w:name w:val="Titolo 9 Carattere"/>
    <w:basedOn w:val="Carpredefinitoparagrafo"/>
    <w:link w:val="Titolo9"/>
    <w:rsid w:val="002809BB"/>
    <w:rPr>
      <w:rFonts w:ascii="Times New Roman" w:eastAsia="Times New Roman" w:hAnsi="Times New Roman" w:cs="Times New Roman"/>
      <w:b/>
      <w:i/>
      <w:sz w:val="18"/>
      <w:szCs w:val="20"/>
      <w:lang w:eastAsia="it-IT"/>
    </w:rPr>
  </w:style>
  <w:style w:type="paragraph" w:styleId="Intestazione">
    <w:name w:val="header"/>
    <w:basedOn w:val="Normale"/>
    <w:link w:val="IntestazioneCarattere"/>
    <w:rsid w:val="002809BB"/>
    <w:pPr>
      <w:tabs>
        <w:tab w:val="center" w:pos="3969"/>
        <w:tab w:val="right" w:pos="7938"/>
      </w:tabs>
      <w:spacing w:line="240" w:lineRule="auto"/>
    </w:pPr>
    <w:rPr>
      <w:rFonts w:ascii="Times New Roman" w:hAnsi="Times New Roman"/>
      <w:sz w:val="26"/>
    </w:rPr>
  </w:style>
  <w:style w:type="character" w:customStyle="1" w:styleId="IntestazioneCarattere">
    <w:name w:val="Intestazione Carattere"/>
    <w:basedOn w:val="Carpredefinitoparagrafo"/>
    <w:link w:val="Intestazione"/>
    <w:rsid w:val="002809BB"/>
    <w:rPr>
      <w:rFonts w:ascii="Times New Roman" w:eastAsia="Times New Roman" w:hAnsi="Times New Roman" w:cs="Times New Roman"/>
      <w:sz w:val="26"/>
      <w:szCs w:val="20"/>
      <w:lang w:eastAsia="it-IT"/>
    </w:rPr>
  </w:style>
  <w:style w:type="paragraph" w:customStyle="1" w:styleId="Intestazionepari">
    <w:name w:val="Intestazione pari"/>
    <w:basedOn w:val="Normale"/>
    <w:rsid w:val="002809BB"/>
    <w:pPr>
      <w:pBdr>
        <w:bottom w:val="single" w:sz="4" w:space="1" w:color="auto"/>
      </w:pBdr>
      <w:spacing w:line="240" w:lineRule="auto"/>
    </w:pPr>
    <w:rPr>
      <w:rFonts w:ascii="Times New Roman" w:hAnsi="Times New Roman"/>
      <w:smallCaps/>
      <w:sz w:val="18"/>
    </w:rPr>
  </w:style>
  <w:style w:type="character" w:styleId="Numeropagina">
    <w:name w:val="page number"/>
    <w:rsid w:val="002809BB"/>
    <w:rPr>
      <w:rFonts w:ascii="Arial" w:hAnsi="Arial"/>
      <w:sz w:val="22"/>
    </w:rPr>
  </w:style>
  <w:style w:type="paragraph" w:customStyle="1" w:styleId="Occhiello">
    <w:name w:val="Occhiello"/>
    <w:basedOn w:val="Normale"/>
    <w:rsid w:val="002809BB"/>
    <w:pPr>
      <w:spacing w:before="4800" w:line="240" w:lineRule="auto"/>
      <w:jc w:val="center"/>
      <w:outlineLvl w:val="0"/>
    </w:pPr>
    <w:rPr>
      <w:rFonts w:ascii="Times New Roman" w:hAnsi="Times New Roman"/>
      <w:b/>
      <w:sz w:val="36"/>
    </w:rPr>
  </w:style>
  <w:style w:type="paragraph" w:styleId="Pidipagina">
    <w:name w:val="footer"/>
    <w:basedOn w:val="Normale"/>
    <w:link w:val="PidipaginaCarattere"/>
    <w:uiPriority w:val="99"/>
    <w:rsid w:val="002809BB"/>
    <w:pPr>
      <w:spacing w:line="240" w:lineRule="auto"/>
      <w:jc w:val="center"/>
    </w:pPr>
    <w:rPr>
      <w:rFonts w:ascii="Times New Roman" w:hAnsi="Times New Roman"/>
      <w:sz w:val="26"/>
    </w:rPr>
  </w:style>
  <w:style w:type="character" w:customStyle="1" w:styleId="PidipaginaCarattere">
    <w:name w:val="Piè di pagina Carattere"/>
    <w:basedOn w:val="Carpredefinitoparagrafo"/>
    <w:link w:val="Pidipagina"/>
    <w:uiPriority w:val="99"/>
    <w:rsid w:val="002809BB"/>
    <w:rPr>
      <w:rFonts w:ascii="Times New Roman" w:eastAsia="Times New Roman" w:hAnsi="Times New Roman" w:cs="Times New Roman"/>
      <w:sz w:val="26"/>
      <w:szCs w:val="20"/>
      <w:lang w:eastAsia="it-IT"/>
    </w:rPr>
  </w:style>
  <w:style w:type="paragraph" w:customStyle="1" w:styleId="Ridotto">
    <w:name w:val="Ridotto"/>
    <w:basedOn w:val="Normale"/>
    <w:link w:val="RidottoCarattere"/>
    <w:qFormat/>
    <w:rsid w:val="002809BB"/>
    <w:pPr>
      <w:spacing w:line="260" w:lineRule="atLeast"/>
    </w:pPr>
    <w:rPr>
      <w:rFonts w:ascii="Times New Roman" w:hAnsi="Times New Roman"/>
      <w:sz w:val="24"/>
    </w:rPr>
  </w:style>
  <w:style w:type="paragraph" w:styleId="Sommario1">
    <w:name w:val="toc 1"/>
    <w:basedOn w:val="Normale"/>
    <w:next w:val="Sommario2"/>
    <w:uiPriority w:val="39"/>
    <w:rsid w:val="002809BB"/>
    <w:pPr>
      <w:keepNext/>
      <w:keepLines/>
      <w:widowControl w:val="0"/>
      <w:tabs>
        <w:tab w:val="right" w:leader="dot" w:pos="7938"/>
      </w:tabs>
      <w:spacing w:before="480" w:after="60" w:line="240" w:lineRule="auto"/>
      <w:ind w:right="851"/>
      <w:jc w:val="left"/>
      <w:outlineLvl w:val="0"/>
    </w:pPr>
    <w:rPr>
      <w:rFonts w:ascii="Times New Roman" w:hAnsi="Times New Roman"/>
      <w:b/>
      <w:smallCaps/>
      <w:noProof/>
      <w:sz w:val="26"/>
    </w:rPr>
  </w:style>
  <w:style w:type="paragraph" w:styleId="Sommario2">
    <w:name w:val="toc 2"/>
    <w:basedOn w:val="Sommario1"/>
    <w:next w:val="Normale"/>
    <w:uiPriority w:val="39"/>
    <w:rsid w:val="002809BB"/>
    <w:pPr>
      <w:keepLines w:val="0"/>
      <w:spacing w:before="120" w:after="0" w:line="300" w:lineRule="exact"/>
      <w:ind w:left="284"/>
      <w:jc w:val="both"/>
      <w:outlineLvl w:val="1"/>
    </w:pPr>
    <w:rPr>
      <w:smallCaps w:val="0"/>
      <w:sz w:val="22"/>
    </w:rPr>
  </w:style>
  <w:style w:type="paragraph" w:styleId="Sommario3">
    <w:name w:val="toc 3"/>
    <w:basedOn w:val="Sommario1"/>
    <w:next w:val="Normale"/>
    <w:uiPriority w:val="39"/>
    <w:rsid w:val="002809BB"/>
    <w:pPr>
      <w:keepNext w:val="0"/>
      <w:keepLines w:val="0"/>
      <w:numPr>
        <w:numId w:val="11"/>
      </w:numPr>
      <w:tabs>
        <w:tab w:val="left" w:pos="567"/>
      </w:tabs>
      <w:spacing w:before="60" w:after="0"/>
      <w:jc w:val="both"/>
      <w:outlineLvl w:val="2"/>
    </w:pPr>
    <w:rPr>
      <w:b w:val="0"/>
      <w:smallCaps w:val="0"/>
      <w:sz w:val="24"/>
    </w:rPr>
  </w:style>
  <w:style w:type="paragraph" w:customStyle="1" w:styleId="SommarioC">
    <w:name w:val="SommarioC"/>
    <w:basedOn w:val="SommarioA"/>
    <w:semiHidden/>
    <w:rsid w:val="002809BB"/>
    <w:pPr>
      <w:keepNext w:val="0"/>
      <w:keepLines w:val="0"/>
      <w:tabs>
        <w:tab w:val="left" w:pos="567"/>
      </w:tabs>
      <w:spacing w:before="60" w:after="0"/>
      <w:outlineLvl w:val="2"/>
    </w:pPr>
    <w:rPr>
      <w:b w:val="0"/>
      <w:smallCaps w:val="0"/>
      <w:sz w:val="22"/>
    </w:rPr>
  </w:style>
  <w:style w:type="paragraph" w:customStyle="1" w:styleId="SommarioA">
    <w:name w:val="SommarioA"/>
    <w:basedOn w:val="Normale"/>
    <w:next w:val="Normale"/>
    <w:semiHidden/>
    <w:rsid w:val="002809BB"/>
    <w:pPr>
      <w:keepNext/>
      <w:keepLines/>
      <w:tabs>
        <w:tab w:val="right" w:pos="7938"/>
      </w:tabs>
      <w:spacing w:before="480" w:after="60" w:line="240" w:lineRule="auto"/>
      <w:ind w:right="851"/>
      <w:jc w:val="left"/>
      <w:outlineLvl w:val="0"/>
    </w:pPr>
    <w:rPr>
      <w:rFonts w:ascii="Times New Roman" w:hAnsi="Times New Roman"/>
      <w:b/>
      <w:smallCaps/>
      <w:sz w:val="26"/>
    </w:rPr>
  </w:style>
  <w:style w:type="paragraph" w:styleId="Numeroelenco2">
    <w:name w:val="List Number 2"/>
    <w:basedOn w:val="Normale"/>
    <w:semiHidden/>
    <w:rsid w:val="002809BB"/>
    <w:pPr>
      <w:numPr>
        <w:numId w:val="9"/>
      </w:numPr>
      <w:spacing w:line="240" w:lineRule="auto"/>
    </w:pPr>
    <w:rPr>
      <w:rFonts w:ascii="Times New Roman" w:hAnsi="Times New Roman"/>
      <w:sz w:val="26"/>
    </w:rPr>
  </w:style>
  <w:style w:type="paragraph" w:customStyle="1" w:styleId="Autoreultimosalvataggio">
    <w:name w:val="Autore ultimo salvataggio"/>
    <w:rsid w:val="002809BB"/>
    <w:pPr>
      <w:spacing w:after="0" w:line="240" w:lineRule="auto"/>
    </w:pPr>
    <w:rPr>
      <w:rFonts w:ascii="Times New Roman" w:eastAsia="Times New Roman" w:hAnsi="Times New Roman" w:cs="Times New Roman"/>
      <w:sz w:val="20"/>
      <w:szCs w:val="20"/>
      <w:lang w:eastAsia="it-IT"/>
    </w:rPr>
  </w:style>
  <w:style w:type="paragraph" w:styleId="Sommario4">
    <w:name w:val="toc 4"/>
    <w:basedOn w:val="Sommario1"/>
    <w:next w:val="Normale"/>
    <w:rsid w:val="002809BB"/>
    <w:pPr>
      <w:keepNext w:val="0"/>
      <w:keepLines w:val="0"/>
      <w:numPr>
        <w:numId w:val="10"/>
      </w:numPr>
      <w:tabs>
        <w:tab w:val="left" w:pos="851"/>
      </w:tabs>
      <w:spacing w:before="0" w:after="0"/>
      <w:outlineLvl w:val="3"/>
    </w:pPr>
    <w:rPr>
      <w:b w:val="0"/>
      <w:i/>
      <w:smallCaps w:val="0"/>
      <w:sz w:val="22"/>
    </w:rPr>
  </w:style>
  <w:style w:type="paragraph" w:styleId="Sommario7">
    <w:name w:val="toc 7"/>
    <w:basedOn w:val="Normale"/>
    <w:next w:val="Normale"/>
    <w:autoRedefine/>
    <w:semiHidden/>
    <w:rsid w:val="002809BB"/>
    <w:pPr>
      <w:tabs>
        <w:tab w:val="left" w:leader="dot" w:pos="7088"/>
        <w:tab w:val="center" w:pos="7655"/>
        <w:tab w:val="right" w:pos="8505"/>
      </w:tabs>
      <w:spacing w:before="60" w:after="60" w:line="240" w:lineRule="auto"/>
      <w:ind w:left="1203" w:right="1700" w:hanging="352"/>
      <w:jc w:val="left"/>
    </w:pPr>
    <w:rPr>
      <w:rFonts w:ascii="Times New Roman" w:hAnsi="Times New Roman"/>
      <w:noProof/>
      <w:sz w:val="26"/>
    </w:rPr>
  </w:style>
  <w:style w:type="paragraph" w:customStyle="1" w:styleId="Datadicreazione">
    <w:name w:val="Data di creazione"/>
    <w:rsid w:val="002809BB"/>
    <w:pPr>
      <w:spacing w:after="0" w:line="240" w:lineRule="auto"/>
    </w:pPr>
    <w:rPr>
      <w:rFonts w:ascii="Times New Roman" w:eastAsia="Times New Roman" w:hAnsi="Times New Roman" w:cs="Times New Roman"/>
      <w:sz w:val="20"/>
      <w:szCs w:val="20"/>
      <w:lang w:eastAsia="it-IT"/>
    </w:rPr>
  </w:style>
  <w:style w:type="paragraph" w:customStyle="1" w:styleId="Dataultimastampa">
    <w:name w:val="Data ultima stampa"/>
    <w:semiHidden/>
    <w:rsid w:val="002809BB"/>
    <w:pPr>
      <w:spacing w:after="0" w:line="240" w:lineRule="auto"/>
    </w:pPr>
    <w:rPr>
      <w:rFonts w:ascii="Times New Roman" w:eastAsia="Times New Roman" w:hAnsi="Times New Roman" w:cs="Times New Roman"/>
      <w:sz w:val="20"/>
      <w:szCs w:val="20"/>
      <w:lang w:eastAsia="it-IT"/>
    </w:rPr>
  </w:style>
  <w:style w:type="paragraph" w:customStyle="1" w:styleId="Nomefile">
    <w:name w:val="Nome file"/>
    <w:rsid w:val="002809BB"/>
    <w:pPr>
      <w:spacing w:after="0" w:line="240" w:lineRule="auto"/>
    </w:pPr>
    <w:rPr>
      <w:rFonts w:ascii="Times New Roman" w:eastAsia="Times New Roman" w:hAnsi="Times New Roman" w:cs="Times New Roman"/>
      <w:sz w:val="20"/>
      <w:szCs w:val="20"/>
      <w:lang w:eastAsia="it-IT"/>
    </w:rPr>
  </w:style>
  <w:style w:type="paragraph" w:customStyle="1" w:styleId="Nomefileepercorso">
    <w:name w:val="Nome file e percorso"/>
    <w:semiHidden/>
    <w:rsid w:val="002809BB"/>
    <w:pPr>
      <w:spacing w:after="0" w:line="240" w:lineRule="auto"/>
    </w:pPr>
    <w:rPr>
      <w:rFonts w:ascii="Times New Roman" w:eastAsia="Times New Roman" w:hAnsi="Times New Roman" w:cs="Times New Roman"/>
      <w:sz w:val="20"/>
      <w:szCs w:val="20"/>
      <w:lang w:eastAsia="it-IT"/>
    </w:rPr>
  </w:style>
  <w:style w:type="paragraph" w:customStyle="1" w:styleId="PaginaXdiY">
    <w:name w:val="Pagina X di Y"/>
    <w:semiHidden/>
    <w:rsid w:val="002809BB"/>
    <w:pPr>
      <w:spacing w:after="0" w:line="240" w:lineRule="auto"/>
    </w:pPr>
    <w:rPr>
      <w:rFonts w:ascii="Times New Roman" w:eastAsia="Times New Roman" w:hAnsi="Times New Roman" w:cs="Times New Roman"/>
      <w:sz w:val="20"/>
      <w:szCs w:val="20"/>
      <w:lang w:eastAsia="it-IT"/>
    </w:rPr>
  </w:style>
  <w:style w:type="paragraph" w:styleId="Sommario5">
    <w:name w:val="toc 5"/>
    <w:basedOn w:val="Sommario1"/>
    <w:next w:val="Normale"/>
    <w:autoRedefine/>
    <w:semiHidden/>
    <w:rsid w:val="002809BB"/>
    <w:pPr>
      <w:keepNext w:val="0"/>
      <w:keepLines w:val="0"/>
      <w:spacing w:before="0" w:after="0"/>
      <w:ind w:left="567"/>
      <w:jc w:val="both"/>
      <w:outlineLvl w:val="4"/>
    </w:pPr>
    <w:rPr>
      <w:b w:val="0"/>
      <w:smallCaps w:val="0"/>
      <w:sz w:val="22"/>
    </w:rPr>
  </w:style>
  <w:style w:type="paragraph" w:styleId="Sommario6">
    <w:name w:val="toc 6"/>
    <w:basedOn w:val="Normale"/>
    <w:next w:val="Normale"/>
    <w:autoRedefine/>
    <w:semiHidden/>
    <w:rsid w:val="002809BB"/>
    <w:pPr>
      <w:spacing w:line="240" w:lineRule="auto"/>
      <w:ind w:left="1100"/>
      <w:jc w:val="left"/>
    </w:pPr>
    <w:rPr>
      <w:rFonts w:ascii="Times New Roman" w:hAnsi="Times New Roman"/>
      <w:sz w:val="18"/>
    </w:rPr>
  </w:style>
  <w:style w:type="paragraph" w:styleId="Sommario8">
    <w:name w:val="toc 8"/>
    <w:basedOn w:val="Sommario1"/>
    <w:next w:val="Normale"/>
    <w:semiHidden/>
    <w:rsid w:val="002809BB"/>
    <w:pPr>
      <w:spacing w:line="300" w:lineRule="exact"/>
      <w:outlineLvl w:val="7"/>
    </w:pPr>
  </w:style>
  <w:style w:type="paragraph" w:styleId="Sommario9">
    <w:name w:val="toc 9"/>
    <w:basedOn w:val="Sommario1"/>
    <w:next w:val="Normale"/>
    <w:semiHidden/>
    <w:rsid w:val="002809BB"/>
    <w:pPr>
      <w:keepNext w:val="0"/>
      <w:keepLines w:val="0"/>
      <w:spacing w:before="120" w:after="0" w:line="300" w:lineRule="exact"/>
      <w:ind w:left="284"/>
      <w:jc w:val="both"/>
      <w:outlineLvl w:val="8"/>
    </w:pPr>
    <w:rPr>
      <w:smallCaps w:val="0"/>
      <w:sz w:val="22"/>
    </w:rPr>
  </w:style>
  <w:style w:type="paragraph" w:customStyle="1" w:styleId="cop">
    <w:name w:val="cop"/>
    <w:basedOn w:val="Normale"/>
    <w:semiHidden/>
    <w:rsid w:val="002809BB"/>
    <w:pPr>
      <w:keepNext/>
      <w:spacing w:line="240" w:lineRule="auto"/>
      <w:jc w:val="center"/>
    </w:pPr>
    <w:rPr>
      <w:rFonts w:ascii="Times New Roman" w:hAnsi="Times New Roman"/>
      <w:b/>
      <w:smallCaps/>
      <w:kern w:val="28"/>
      <w:sz w:val="40"/>
    </w:rPr>
  </w:style>
  <w:style w:type="paragraph" w:styleId="Mappadocumento">
    <w:name w:val="Document Map"/>
    <w:basedOn w:val="Normale"/>
    <w:link w:val="MappadocumentoCarattere"/>
    <w:semiHidden/>
    <w:rsid w:val="002809BB"/>
    <w:pPr>
      <w:shd w:val="clear" w:color="auto" w:fill="000080"/>
      <w:spacing w:line="240" w:lineRule="auto"/>
    </w:pPr>
    <w:rPr>
      <w:rFonts w:ascii="Tahoma" w:hAnsi="Tahoma"/>
      <w:sz w:val="26"/>
    </w:rPr>
  </w:style>
  <w:style w:type="character" w:customStyle="1" w:styleId="MappadocumentoCarattere">
    <w:name w:val="Mappa documento Carattere"/>
    <w:basedOn w:val="Carpredefinitoparagrafo"/>
    <w:link w:val="Mappadocumento"/>
    <w:semiHidden/>
    <w:rsid w:val="002809BB"/>
    <w:rPr>
      <w:rFonts w:ascii="Tahoma" w:eastAsia="Times New Roman" w:hAnsi="Tahoma" w:cs="Times New Roman"/>
      <w:sz w:val="26"/>
      <w:szCs w:val="20"/>
      <w:shd w:val="clear" w:color="auto" w:fill="000080"/>
      <w:lang w:eastAsia="it-IT"/>
    </w:rPr>
  </w:style>
  <w:style w:type="paragraph" w:customStyle="1" w:styleId="Etichettadocumento">
    <w:name w:val="Etichetta documento"/>
    <w:basedOn w:val="Normale"/>
    <w:semiHidden/>
    <w:rsid w:val="002809BB"/>
    <w:pPr>
      <w:keepNext/>
      <w:keepLines/>
      <w:spacing w:before="400" w:after="120" w:line="240" w:lineRule="atLeast"/>
      <w:ind w:left="-840"/>
      <w:jc w:val="left"/>
    </w:pPr>
    <w:rPr>
      <w:rFonts w:ascii="Arial Black" w:hAnsi="Arial Black"/>
      <w:spacing w:val="-100"/>
      <w:kern w:val="28"/>
      <w:sz w:val="108"/>
    </w:rPr>
  </w:style>
  <w:style w:type="paragraph" w:styleId="Intestazionemessaggio">
    <w:name w:val="Message Header"/>
    <w:basedOn w:val="Normale"/>
    <w:link w:val="IntestazionemessaggioCarattere"/>
    <w:semiHidden/>
    <w:rsid w:val="002809BB"/>
    <w:pPr>
      <w:keepLines/>
      <w:tabs>
        <w:tab w:val="left" w:pos="720"/>
        <w:tab w:val="left" w:pos="4320"/>
        <w:tab w:val="left" w:pos="5040"/>
        <w:tab w:val="right" w:pos="8640"/>
      </w:tabs>
      <w:spacing w:after="40" w:line="440" w:lineRule="atLeast"/>
      <w:ind w:left="720" w:hanging="720"/>
      <w:jc w:val="left"/>
    </w:pPr>
    <w:rPr>
      <w:rFonts w:ascii="Times New Roman" w:hAnsi="Times New Roman"/>
      <w:spacing w:val="-5"/>
      <w:sz w:val="26"/>
    </w:rPr>
  </w:style>
  <w:style w:type="character" w:customStyle="1" w:styleId="IntestazionemessaggioCarattere">
    <w:name w:val="Intestazione messaggio Carattere"/>
    <w:basedOn w:val="Carpredefinitoparagrafo"/>
    <w:link w:val="Intestazionemessaggio"/>
    <w:semiHidden/>
    <w:rsid w:val="002809BB"/>
    <w:rPr>
      <w:rFonts w:ascii="Times New Roman" w:eastAsia="Times New Roman" w:hAnsi="Times New Roman" w:cs="Times New Roman"/>
      <w:spacing w:val="-5"/>
      <w:sz w:val="26"/>
      <w:szCs w:val="20"/>
      <w:lang w:eastAsia="it-IT"/>
    </w:rPr>
  </w:style>
  <w:style w:type="character" w:customStyle="1" w:styleId="Etichettaintestazionemessaggio">
    <w:name w:val="Etichetta intestazione messaggio"/>
    <w:semiHidden/>
    <w:rsid w:val="002809BB"/>
    <w:rPr>
      <w:rFonts w:ascii="Arial Black" w:hAnsi="Arial Black"/>
      <w:sz w:val="18"/>
    </w:rPr>
  </w:style>
  <w:style w:type="paragraph" w:customStyle="1" w:styleId="Correzioneautomatica">
    <w:name w:val="Correzione automatica"/>
    <w:rsid w:val="002809BB"/>
    <w:pPr>
      <w:spacing w:after="0" w:line="240" w:lineRule="auto"/>
    </w:pPr>
    <w:rPr>
      <w:rFonts w:ascii="Times New Roman" w:eastAsia="Times New Roman" w:hAnsi="Times New Roman" w:cs="Times New Roman"/>
      <w:sz w:val="20"/>
      <w:szCs w:val="20"/>
      <w:lang w:eastAsia="it-IT"/>
    </w:rPr>
  </w:style>
  <w:style w:type="paragraph" w:styleId="Rientrocorpodeltesto">
    <w:name w:val="Body Text Indent"/>
    <w:basedOn w:val="Normale"/>
    <w:link w:val="RientrocorpodeltestoCarattere"/>
    <w:uiPriority w:val="99"/>
    <w:rsid w:val="002809BB"/>
    <w:pPr>
      <w:spacing w:line="240" w:lineRule="auto"/>
    </w:pPr>
    <w:rPr>
      <w:rFonts w:ascii="Times New Roman" w:hAnsi="Times New Roman"/>
      <w:sz w:val="26"/>
    </w:rPr>
  </w:style>
  <w:style w:type="character" w:customStyle="1" w:styleId="RientrocorpodeltestoCarattere">
    <w:name w:val="Rientro corpo del testo Carattere"/>
    <w:basedOn w:val="Carpredefinitoparagrafo"/>
    <w:link w:val="Rientrocorpodeltesto"/>
    <w:uiPriority w:val="99"/>
    <w:rsid w:val="002809BB"/>
    <w:rPr>
      <w:rFonts w:ascii="Times New Roman" w:eastAsia="Times New Roman" w:hAnsi="Times New Roman" w:cs="Times New Roman"/>
      <w:sz w:val="26"/>
      <w:szCs w:val="20"/>
      <w:lang w:eastAsia="it-IT"/>
    </w:rPr>
  </w:style>
  <w:style w:type="paragraph" w:styleId="Corpotesto">
    <w:name w:val="Body Text"/>
    <w:basedOn w:val="Normale"/>
    <w:link w:val="CorpotestoCarattere"/>
    <w:semiHidden/>
    <w:rsid w:val="002809BB"/>
    <w:pPr>
      <w:spacing w:after="120" w:line="240" w:lineRule="auto"/>
    </w:pPr>
    <w:rPr>
      <w:rFonts w:ascii="Times New Roman" w:hAnsi="Times New Roman"/>
      <w:sz w:val="26"/>
    </w:rPr>
  </w:style>
  <w:style w:type="character" w:customStyle="1" w:styleId="CorpotestoCarattere">
    <w:name w:val="Corpo testo Carattere"/>
    <w:basedOn w:val="Carpredefinitoparagrafo"/>
    <w:link w:val="Corpotesto"/>
    <w:semiHidden/>
    <w:rsid w:val="002809BB"/>
    <w:rPr>
      <w:rFonts w:ascii="Times New Roman" w:eastAsia="Times New Roman" w:hAnsi="Times New Roman" w:cs="Times New Roman"/>
      <w:sz w:val="26"/>
      <w:szCs w:val="20"/>
      <w:lang w:eastAsia="it-IT"/>
    </w:rPr>
  </w:style>
  <w:style w:type="paragraph" w:customStyle="1" w:styleId="noteIntestazione">
    <w:name w:val="note Intestazione"/>
    <w:basedOn w:val="Intestazione"/>
    <w:semiHidden/>
    <w:rsid w:val="002809BB"/>
    <w:pPr>
      <w:pBdr>
        <w:bottom w:val="single" w:sz="6" w:space="1" w:color="auto"/>
      </w:pBdr>
      <w:tabs>
        <w:tab w:val="clear" w:pos="3969"/>
        <w:tab w:val="center" w:pos="4253"/>
      </w:tabs>
      <w:spacing w:line="300" w:lineRule="exact"/>
      <w:ind w:right="56"/>
    </w:pPr>
    <w:rPr>
      <w:i/>
      <w:sz w:val="20"/>
    </w:rPr>
  </w:style>
  <w:style w:type="paragraph" w:customStyle="1" w:styleId="OCCHIELLO2">
    <w:name w:val="OCCHIELLO2"/>
    <w:basedOn w:val="Normale"/>
    <w:next w:val="Normale"/>
    <w:rsid w:val="002809BB"/>
    <w:pPr>
      <w:spacing w:before="5520" w:line="240" w:lineRule="auto"/>
      <w:jc w:val="center"/>
      <w:outlineLvl w:val="8"/>
    </w:pPr>
    <w:rPr>
      <w:rFonts w:ascii="Times New Roman" w:hAnsi="Times New Roman"/>
      <w:b/>
      <w:sz w:val="32"/>
    </w:rPr>
  </w:style>
  <w:style w:type="paragraph" w:customStyle="1" w:styleId="SommarioD">
    <w:name w:val="SommarioD"/>
    <w:basedOn w:val="SommarioA"/>
    <w:semiHidden/>
    <w:rsid w:val="002809BB"/>
    <w:pPr>
      <w:keepNext w:val="0"/>
      <w:keepLines w:val="0"/>
      <w:tabs>
        <w:tab w:val="left" w:pos="851"/>
      </w:tabs>
      <w:spacing w:before="0" w:after="0"/>
      <w:outlineLvl w:val="3"/>
    </w:pPr>
    <w:rPr>
      <w:b w:val="0"/>
      <w:i/>
      <w:smallCaps w:val="0"/>
      <w:sz w:val="22"/>
    </w:rPr>
  </w:style>
  <w:style w:type="paragraph" w:customStyle="1" w:styleId="SommarioB">
    <w:name w:val="SommarioB"/>
    <w:basedOn w:val="SommarioA"/>
    <w:semiHidden/>
    <w:rsid w:val="002809BB"/>
    <w:pPr>
      <w:keepNext w:val="0"/>
      <w:keepLines w:val="0"/>
      <w:spacing w:before="120" w:after="0" w:line="300" w:lineRule="exact"/>
      <w:ind w:left="284"/>
      <w:outlineLvl w:val="1"/>
    </w:pPr>
    <w:rPr>
      <w:smallCaps w:val="0"/>
      <w:sz w:val="22"/>
    </w:rPr>
  </w:style>
  <w:style w:type="paragraph" w:customStyle="1" w:styleId="ToCompany">
    <w:name w:val="ToCompany"/>
    <w:basedOn w:val="Normale"/>
    <w:semiHidden/>
    <w:rsid w:val="002809BB"/>
    <w:pPr>
      <w:spacing w:line="240" w:lineRule="auto"/>
      <w:jc w:val="left"/>
    </w:pPr>
    <w:rPr>
      <w:rFonts w:ascii="Times New Roman" w:hAnsi="Times New Roman"/>
      <w:sz w:val="28"/>
    </w:rPr>
  </w:style>
  <w:style w:type="paragraph" w:styleId="Rientrocorpodeltesto2">
    <w:name w:val="Body Text Indent 2"/>
    <w:basedOn w:val="Normale"/>
    <w:link w:val="Rientrocorpodeltesto2Carattere"/>
    <w:uiPriority w:val="99"/>
    <w:rsid w:val="002809BB"/>
    <w:pPr>
      <w:spacing w:line="240" w:lineRule="auto"/>
    </w:pPr>
    <w:rPr>
      <w:rFonts w:ascii="Times New Roman" w:hAnsi="Times New Roman"/>
      <w:sz w:val="26"/>
    </w:rPr>
  </w:style>
  <w:style w:type="character" w:customStyle="1" w:styleId="Rientrocorpodeltesto2Carattere">
    <w:name w:val="Rientro corpo del testo 2 Carattere"/>
    <w:basedOn w:val="Carpredefinitoparagrafo"/>
    <w:link w:val="Rientrocorpodeltesto2"/>
    <w:uiPriority w:val="99"/>
    <w:rsid w:val="002809BB"/>
    <w:rPr>
      <w:rFonts w:ascii="Times New Roman" w:eastAsia="Times New Roman" w:hAnsi="Times New Roman" w:cs="Times New Roman"/>
      <w:sz w:val="26"/>
      <w:szCs w:val="20"/>
      <w:lang w:eastAsia="it-IT"/>
    </w:rPr>
  </w:style>
  <w:style w:type="paragraph" w:customStyle="1" w:styleId="CopertinaServizio">
    <w:name w:val="Copertina/Servizio"/>
    <w:basedOn w:val="Normale"/>
    <w:semiHidden/>
    <w:rsid w:val="002809BB"/>
    <w:pPr>
      <w:keepNext/>
      <w:spacing w:line="240" w:lineRule="auto"/>
      <w:jc w:val="center"/>
    </w:pPr>
    <w:rPr>
      <w:rFonts w:ascii="Times New Roman" w:hAnsi="Times New Roman"/>
      <w:b/>
      <w:smallCaps/>
      <w:kern w:val="28"/>
      <w:sz w:val="40"/>
    </w:rPr>
  </w:style>
  <w:style w:type="paragraph" w:customStyle="1" w:styleId="CopertinaCollana">
    <w:name w:val="Copertina/Collana"/>
    <w:basedOn w:val="Normale"/>
    <w:semiHidden/>
    <w:rsid w:val="002809BB"/>
    <w:pPr>
      <w:spacing w:line="240" w:lineRule="auto"/>
      <w:jc w:val="center"/>
    </w:pPr>
    <w:rPr>
      <w:rFonts w:ascii="Times New Roman" w:hAnsi="Times New Roman"/>
      <w:smallCaps/>
      <w:spacing w:val="20"/>
      <w:sz w:val="36"/>
    </w:rPr>
  </w:style>
  <w:style w:type="paragraph" w:customStyle="1" w:styleId="CopertinaTitolo">
    <w:name w:val="Copertina/Titolo"/>
    <w:basedOn w:val="Normale"/>
    <w:semiHidden/>
    <w:rsid w:val="002809BB"/>
    <w:pPr>
      <w:keepLines/>
      <w:suppressAutoHyphens/>
      <w:spacing w:before="120" w:line="240" w:lineRule="auto"/>
      <w:ind w:left="284" w:right="284"/>
      <w:jc w:val="center"/>
    </w:pPr>
    <w:rPr>
      <w:rFonts w:ascii="Times New Roman" w:hAnsi="Times New Roman"/>
      <w:b/>
      <w:spacing w:val="20"/>
      <w:sz w:val="32"/>
    </w:rPr>
  </w:style>
  <w:style w:type="paragraph" w:customStyle="1" w:styleId="CopertinaNumero">
    <w:name w:val="Copertina/Numero"/>
    <w:basedOn w:val="Normale"/>
    <w:semiHidden/>
    <w:rsid w:val="002809BB"/>
    <w:pPr>
      <w:spacing w:line="240" w:lineRule="auto"/>
      <w:jc w:val="center"/>
    </w:pPr>
    <w:rPr>
      <w:rFonts w:ascii="Times New Roman" w:hAnsi="Times New Roman"/>
      <w:sz w:val="28"/>
    </w:rPr>
  </w:style>
  <w:style w:type="paragraph" w:customStyle="1" w:styleId="CopertinaAtto">
    <w:name w:val="Copertina/Atto"/>
    <w:basedOn w:val="Normale"/>
    <w:semiHidden/>
    <w:rsid w:val="002809BB"/>
    <w:pPr>
      <w:spacing w:before="120" w:line="240" w:lineRule="auto"/>
      <w:ind w:left="142" w:right="140"/>
      <w:jc w:val="center"/>
    </w:pPr>
    <w:rPr>
      <w:rFonts w:ascii="Times New Roman" w:hAnsi="Times New Roman"/>
      <w:spacing w:val="20"/>
      <w:sz w:val="32"/>
    </w:rPr>
  </w:style>
  <w:style w:type="paragraph" w:customStyle="1" w:styleId="CopertinaParte">
    <w:name w:val="Copertina/Parte"/>
    <w:basedOn w:val="Normale"/>
    <w:semiHidden/>
    <w:rsid w:val="002809BB"/>
    <w:pPr>
      <w:spacing w:line="240" w:lineRule="auto"/>
      <w:ind w:right="140"/>
      <w:jc w:val="center"/>
    </w:pPr>
    <w:rPr>
      <w:rFonts w:ascii="Times New Roman" w:hAnsi="Times New Roman"/>
      <w:spacing w:val="20"/>
      <w:sz w:val="26"/>
    </w:rPr>
  </w:style>
  <w:style w:type="paragraph" w:customStyle="1" w:styleId="CopertinaLegislatura">
    <w:name w:val="Copertina/Legislatura"/>
    <w:basedOn w:val="Normale"/>
    <w:semiHidden/>
    <w:rsid w:val="002809BB"/>
    <w:pPr>
      <w:spacing w:before="240" w:line="240" w:lineRule="auto"/>
      <w:jc w:val="center"/>
    </w:pPr>
    <w:rPr>
      <w:rFonts w:ascii="Times New Roman" w:hAnsi="Times New Roman"/>
      <w:smallCaps/>
      <w:spacing w:val="20"/>
      <w:sz w:val="28"/>
    </w:rPr>
  </w:style>
  <w:style w:type="paragraph" w:customStyle="1" w:styleId="CopertinaData">
    <w:name w:val="Copertina/Data"/>
    <w:basedOn w:val="Normale"/>
    <w:semiHidden/>
    <w:rsid w:val="002809BB"/>
    <w:pPr>
      <w:spacing w:before="240" w:after="360" w:line="240" w:lineRule="auto"/>
      <w:ind w:right="142"/>
      <w:jc w:val="center"/>
    </w:pPr>
    <w:rPr>
      <w:rFonts w:ascii="Times New Roman" w:hAnsi="Times New Roman"/>
      <w:i/>
      <w:spacing w:val="20"/>
      <w:sz w:val="24"/>
    </w:rPr>
  </w:style>
  <w:style w:type="paragraph" w:customStyle="1" w:styleId="CopertinaCameraDeputati">
    <w:name w:val="Copertina/Camera Deputati"/>
    <w:basedOn w:val="Normale"/>
    <w:semiHidden/>
    <w:rsid w:val="002809BB"/>
    <w:pPr>
      <w:spacing w:line="240" w:lineRule="auto"/>
      <w:jc w:val="center"/>
    </w:pPr>
    <w:rPr>
      <w:rFonts w:ascii="Times New Roman" w:hAnsi="Times New Roman"/>
      <w:b/>
      <w:smallCaps/>
      <w:spacing w:val="20"/>
      <w:sz w:val="28"/>
    </w:rPr>
  </w:style>
  <w:style w:type="paragraph" w:customStyle="1" w:styleId="Titolo2articolo">
    <w:name w:val="Titolo 2(articolo)"/>
    <w:basedOn w:val="Titolo2"/>
    <w:link w:val="Titolo2articoloCarattere"/>
    <w:rsid w:val="002809BB"/>
    <w:pPr>
      <w:ind w:left="0" w:firstLine="0"/>
      <w:jc w:val="center"/>
    </w:pPr>
  </w:style>
  <w:style w:type="paragraph" w:customStyle="1" w:styleId="To">
    <w:name w:val="To"/>
    <w:basedOn w:val="Normale"/>
    <w:semiHidden/>
    <w:rsid w:val="002809BB"/>
    <w:pPr>
      <w:spacing w:line="240" w:lineRule="auto"/>
      <w:jc w:val="left"/>
    </w:pPr>
    <w:rPr>
      <w:rFonts w:ascii="Times New Roman" w:hAnsi="Times New Roman"/>
      <w:sz w:val="36"/>
    </w:rPr>
  </w:style>
  <w:style w:type="paragraph" w:customStyle="1" w:styleId="ToFax">
    <w:name w:val="ToFax"/>
    <w:basedOn w:val="Normale"/>
    <w:semiHidden/>
    <w:rsid w:val="002809BB"/>
    <w:pPr>
      <w:spacing w:line="240" w:lineRule="auto"/>
      <w:jc w:val="left"/>
    </w:pPr>
    <w:rPr>
      <w:rFonts w:ascii="Times New Roman" w:hAnsi="Times New Roman"/>
      <w:sz w:val="28"/>
    </w:rPr>
  </w:style>
  <w:style w:type="paragraph" w:customStyle="1" w:styleId="FromCompany">
    <w:name w:val="FromCompany"/>
    <w:basedOn w:val="Normale"/>
    <w:semiHidden/>
    <w:rsid w:val="002809BB"/>
    <w:pPr>
      <w:spacing w:line="240" w:lineRule="auto"/>
      <w:jc w:val="left"/>
    </w:pPr>
    <w:rPr>
      <w:rFonts w:ascii="Times New Roman" w:hAnsi="Times New Roman"/>
      <w:sz w:val="28"/>
    </w:rPr>
  </w:style>
  <w:style w:type="paragraph" w:customStyle="1" w:styleId="FromPhone">
    <w:name w:val="FromPhone"/>
    <w:basedOn w:val="Normale"/>
    <w:semiHidden/>
    <w:rsid w:val="002809BB"/>
    <w:pPr>
      <w:spacing w:line="240" w:lineRule="auto"/>
      <w:jc w:val="left"/>
    </w:pPr>
    <w:rPr>
      <w:rFonts w:ascii="Times New Roman" w:hAnsi="Times New Roman"/>
      <w:sz w:val="28"/>
    </w:rPr>
  </w:style>
  <w:style w:type="paragraph" w:customStyle="1" w:styleId="FromFax">
    <w:name w:val="FromFax"/>
    <w:basedOn w:val="Normale"/>
    <w:semiHidden/>
    <w:rsid w:val="002809BB"/>
    <w:pPr>
      <w:spacing w:line="240" w:lineRule="auto"/>
      <w:jc w:val="left"/>
    </w:pPr>
    <w:rPr>
      <w:rFonts w:ascii="Times New Roman" w:hAnsi="Times New Roman"/>
      <w:sz w:val="28"/>
    </w:rPr>
  </w:style>
  <w:style w:type="paragraph" w:customStyle="1" w:styleId="ToPhone">
    <w:name w:val="ToPhone"/>
    <w:basedOn w:val="ToCompany"/>
    <w:semiHidden/>
    <w:rsid w:val="002809BB"/>
  </w:style>
  <w:style w:type="table" w:styleId="Grigliatabella">
    <w:name w:val="Table Grid"/>
    <w:basedOn w:val="Tabellanormale"/>
    <w:uiPriority w:val="59"/>
    <w:rsid w:val="002809BB"/>
    <w:pPr>
      <w:spacing w:after="0" w:line="300" w:lineRule="atLeast"/>
      <w:ind w:firstLine="284"/>
      <w:jc w:val="both"/>
    </w:pPr>
    <w:rPr>
      <w:rFonts w:ascii="Times New Roman" w:eastAsia="Times New Roman" w:hAnsi="Times New Roman" w:cs="Times New Roman"/>
      <w:sz w:val="20"/>
      <w:szCs w:val="20"/>
      <w:lang w:eastAsia="it-IT"/>
    </w:rPr>
    <w:tblPr/>
  </w:style>
  <w:style w:type="paragraph" w:styleId="Iniziomodulo-z">
    <w:name w:val="HTML Top of Form"/>
    <w:basedOn w:val="Normale"/>
    <w:next w:val="Normale"/>
    <w:link w:val="Iniziomodulo-zCarattere"/>
    <w:hidden/>
    <w:rsid w:val="002809BB"/>
    <w:pPr>
      <w:pBdr>
        <w:bottom w:val="single" w:sz="6" w:space="1" w:color="auto"/>
      </w:pBdr>
      <w:spacing w:line="240" w:lineRule="auto"/>
      <w:jc w:val="center"/>
    </w:pPr>
    <w:rPr>
      <w:rFonts w:ascii="Times New Roman" w:hAnsi="Times New Roman" w:cs="Arial"/>
      <w:vanish/>
      <w:sz w:val="16"/>
      <w:szCs w:val="16"/>
    </w:rPr>
  </w:style>
  <w:style w:type="character" w:customStyle="1" w:styleId="Iniziomodulo-zCarattere">
    <w:name w:val="Inizio modulo -z Carattere"/>
    <w:basedOn w:val="Carpredefinitoparagrafo"/>
    <w:link w:val="Iniziomodulo-z"/>
    <w:rsid w:val="002809BB"/>
    <w:rPr>
      <w:rFonts w:ascii="Times New Roman" w:eastAsia="Times New Roman" w:hAnsi="Times New Roman" w:cs="Arial"/>
      <w:vanish/>
      <w:sz w:val="16"/>
      <w:szCs w:val="16"/>
      <w:lang w:eastAsia="it-IT"/>
    </w:rPr>
  </w:style>
  <w:style w:type="paragraph" w:styleId="Finemodulo-z">
    <w:name w:val="HTML Bottom of Form"/>
    <w:basedOn w:val="Normale"/>
    <w:next w:val="Normale"/>
    <w:link w:val="Finemodulo-zCarattere"/>
    <w:hidden/>
    <w:rsid w:val="002809BB"/>
    <w:pPr>
      <w:pBdr>
        <w:top w:val="single" w:sz="6" w:space="1" w:color="auto"/>
      </w:pBdr>
      <w:spacing w:line="240" w:lineRule="auto"/>
      <w:jc w:val="center"/>
    </w:pPr>
    <w:rPr>
      <w:rFonts w:ascii="Times New Roman" w:hAnsi="Times New Roman" w:cs="Arial"/>
      <w:vanish/>
      <w:sz w:val="16"/>
      <w:szCs w:val="16"/>
    </w:rPr>
  </w:style>
  <w:style w:type="character" w:customStyle="1" w:styleId="Finemodulo-zCarattere">
    <w:name w:val="Fine modulo -z Carattere"/>
    <w:basedOn w:val="Carpredefinitoparagrafo"/>
    <w:link w:val="Finemodulo-z"/>
    <w:rsid w:val="002809BB"/>
    <w:rPr>
      <w:rFonts w:ascii="Times New Roman" w:eastAsia="Times New Roman" w:hAnsi="Times New Roman" w:cs="Arial"/>
      <w:vanish/>
      <w:sz w:val="16"/>
      <w:szCs w:val="16"/>
      <w:lang w:eastAsia="it-IT"/>
    </w:rPr>
  </w:style>
  <w:style w:type="paragraph" w:customStyle="1" w:styleId="STILE-LINEA">
    <w:name w:val="STILE-LINEA"/>
    <w:basedOn w:val="Normale"/>
    <w:semiHidden/>
    <w:rsid w:val="002809BB"/>
    <w:pPr>
      <w:spacing w:line="240" w:lineRule="auto"/>
      <w:jc w:val="center"/>
    </w:pPr>
    <w:rPr>
      <w:rFonts w:ascii="Times New Roman" w:hAnsi="Times New Roman"/>
      <w:sz w:val="26"/>
    </w:rPr>
  </w:style>
  <w:style w:type="character" w:customStyle="1" w:styleId="titolo2articolo0">
    <w:name w:val="titolo 2(articolo)"/>
    <w:basedOn w:val="Carpredefinitoparagrafo"/>
    <w:rsid w:val="002809BB"/>
  </w:style>
  <w:style w:type="paragraph" w:customStyle="1" w:styleId="NOWEB03">
    <w:name w:val="NOWEB03"/>
    <w:basedOn w:val="Normale"/>
    <w:semiHidden/>
    <w:rsid w:val="002809BB"/>
    <w:pPr>
      <w:spacing w:line="240" w:lineRule="auto"/>
      <w:jc w:val="center"/>
    </w:pPr>
    <w:rPr>
      <w:rFonts w:ascii="Times New Roman" w:hAnsi="Times New Roman"/>
      <w:sz w:val="26"/>
    </w:rPr>
  </w:style>
  <w:style w:type="paragraph" w:customStyle="1" w:styleId="NOWEB04">
    <w:name w:val="NOWEB04"/>
    <w:basedOn w:val="Normale"/>
    <w:semiHidden/>
    <w:rsid w:val="002809BB"/>
    <w:pPr>
      <w:spacing w:line="240" w:lineRule="auto"/>
      <w:jc w:val="center"/>
    </w:pPr>
    <w:rPr>
      <w:rFonts w:ascii="Times New Roman" w:hAnsi="Times New Roman"/>
      <w:sz w:val="26"/>
    </w:rPr>
  </w:style>
  <w:style w:type="paragraph" w:customStyle="1" w:styleId="NOWEB05">
    <w:name w:val="NOWEB05"/>
    <w:basedOn w:val="Normale"/>
    <w:semiHidden/>
    <w:rsid w:val="002809BB"/>
    <w:pPr>
      <w:spacing w:line="240" w:lineRule="auto"/>
      <w:jc w:val="center"/>
    </w:pPr>
    <w:rPr>
      <w:rFonts w:ascii="Times New Roman" w:hAnsi="Times New Roman"/>
      <w:sz w:val="26"/>
    </w:rPr>
  </w:style>
  <w:style w:type="paragraph" w:customStyle="1" w:styleId="NOWEB06">
    <w:name w:val="NOWEB06"/>
    <w:basedOn w:val="Normale"/>
    <w:semiHidden/>
    <w:rsid w:val="002809BB"/>
    <w:pPr>
      <w:spacing w:line="240" w:lineRule="auto"/>
      <w:jc w:val="center"/>
    </w:pPr>
    <w:rPr>
      <w:rFonts w:ascii="Times New Roman" w:hAnsi="Times New Roman"/>
      <w:sz w:val="26"/>
    </w:rPr>
  </w:style>
  <w:style w:type="paragraph" w:customStyle="1" w:styleId="NOWEB07">
    <w:name w:val="NOWEB07"/>
    <w:basedOn w:val="Normale"/>
    <w:semiHidden/>
    <w:rsid w:val="002809BB"/>
    <w:pPr>
      <w:spacing w:line="240" w:lineRule="auto"/>
      <w:jc w:val="center"/>
    </w:pPr>
    <w:rPr>
      <w:rFonts w:ascii="Times New Roman" w:hAnsi="Times New Roman"/>
      <w:sz w:val="26"/>
    </w:rPr>
  </w:style>
  <w:style w:type="paragraph" w:customStyle="1" w:styleId="NOWEB08">
    <w:name w:val="NOWEB08"/>
    <w:basedOn w:val="Normale"/>
    <w:semiHidden/>
    <w:rsid w:val="002809BB"/>
    <w:pPr>
      <w:spacing w:line="240" w:lineRule="auto"/>
      <w:jc w:val="center"/>
    </w:pPr>
    <w:rPr>
      <w:rFonts w:ascii="Times New Roman" w:hAnsi="Times New Roman"/>
      <w:sz w:val="26"/>
    </w:rPr>
  </w:style>
  <w:style w:type="paragraph" w:customStyle="1" w:styleId="Tabellaremio">
    <w:name w:val="Tabellare mio"/>
    <w:basedOn w:val="Normale"/>
    <w:semiHidden/>
    <w:rsid w:val="002809BB"/>
    <w:pPr>
      <w:spacing w:after="60" w:line="240" w:lineRule="auto"/>
      <w:ind w:left="57" w:right="57"/>
    </w:pPr>
    <w:rPr>
      <w:rFonts w:ascii="Times New Roman" w:hAnsi="Times New Roman" w:cs="Arial"/>
      <w:sz w:val="20"/>
    </w:rPr>
  </w:style>
  <w:style w:type="paragraph" w:customStyle="1" w:styleId="CopertinaServizio2">
    <w:name w:val="Copertina/Servizio2"/>
    <w:basedOn w:val="Titolo2"/>
    <w:semiHidden/>
    <w:rsid w:val="002809BB"/>
    <w:pPr>
      <w:spacing w:before="120"/>
      <w:jc w:val="center"/>
    </w:pPr>
    <w:rPr>
      <w:smallCaps/>
      <w:spacing w:val="20"/>
      <w:sz w:val="30"/>
    </w:rPr>
  </w:style>
  <w:style w:type="paragraph" w:customStyle="1" w:styleId="CopertinaServizio3">
    <w:name w:val="Copertina/Servizio3"/>
    <w:basedOn w:val="Normale"/>
    <w:semiHidden/>
    <w:rsid w:val="002809BB"/>
    <w:pPr>
      <w:spacing w:line="240" w:lineRule="auto"/>
      <w:jc w:val="center"/>
    </w:pPr>
    <w:rPr>
      <w:rFonts w:ascii="Times New Roman" w:hAnsi="Times New Roman"/>
      <w:b/>
      <w:smallCaps/>
      <w:spacing w:val="20"/>
      <w:sz w:val="28"/>
    </w:rPr>
  </w:style>
  <w:style w:type="paragraph" w:customStyle="1" w:styleId="CopertinaServizio4">
    <w:name w:val="Copertina/Servizio4"/>
    <w:basedOn w:val="Normale"/>
    <w:semiHidden/>
    <w:rsid w:val="002809BB"/>
    <w:pPr>
      <w:spacing w:line="240" w:lineRule="auto"/>
      <w:jc w:val="center"/>
    </w:pPr>
    <w:rPr>
      <w:rFonts w:ascii="Times New Roman" w:hAnsi="Times New Roman"/>
      <w:b/>
      <w:smallCaps/>
      <w:spacing w:val="20"/>
      <w:sz w:val="24"/>
    </w:rPr>
  </w:style>
  <w:style w:type="paragraph" w:customStyle="1" w:styleId="CopertinaSottotitolo">
    <w:name w:val="Copertina/Sottotitolo"/>
    <w:basedOn w:val="CopertinaAtto"/>
    <w:semiHidden/>
    <w:rsid w:val="002809BB"/>
    <w:rPr>
      <w:i/>
      <w:sz w:val="26"/>
    </w:rPr>
  </w:style>
  <w:style w:type="paragraph" w:customStyle="1" w:styleId="Data1">
    <w:name w:val="Data1"/>
    <w:basedOn w:val="Normale"/>
    <w:semiHidden/>
    <w:rsid w:val="002809BB"/>
    <w:pPr>
      <w:spacing w:before="360" w:line="240" w:lineRule="auto"/>
      <w:jc w:val="left"/>
    </w:pPr>
    <w:rPr>
      <w:rFonts w:ascii="Times New Roman" w:hAnsi="Times New Roman"/>
      <w:sz w:val="28"/>
    </w:rPr>
  </w:style>
  <w:style w:type="paragraph" w:customStyle="1" w:styleId="From">
    <w:name w:val="From"/>
    <w:basedOn w:val="Normale"/>
    <w:semiHidden/>
    <w:rsid w:val="002809BB"/>
    <w:pPr>
      <w:spacing w:before="360" w:line="240" w:lineRule="auto"/>
      <w:jc w:val="left"/>
    </w:pPr>
    <w:rPr>
      <w:rFonts w:ascii="Times New Roman" w:hAnsi="Times New Roman"/>
      <w:sz w:val="36"/>
    </w:rPr>
  </w:style>
  <w:style w:type="paragraph" w:customStyle="1" w:styleId="index">
    <w:name w:val="index"/>
    <w:semiHidden/>
    <w:rsid w:val="002809BB"/>
    <w:pPr>
      <w:spacing w:after="0" w:line="300" w:lineRule="atLeast"/>
      <w:ind w:firstLine="284"/>
      <w:jc w:val="both"/>
    </w:pPr>
    <w:rPr>
      <w:rFonts w:ascii="Arial" w:eastAsia="Times New Roman" w:hAnsi="Arial" w:cs="Times New Roman"/>
      <w:szCs w:val="20"/>
      <w:lang w:eastAsia="it-IT"/>
    </w:rPr>
  </w:style>
  <w:style w:type="paragraph" w:customStyle="1" w:styleId="intestazionedispari">
    <w:name w:val="intestazione dispari"/>
    <w:basedOn w:val="Normale"/>
    <w:rsid w:val="002809BB"/>
    <w:pPr>
      <w:pBdr>
        <w:bottom w:val="single" w:sz="4" w:space="1" w:color="auto"/>
      </w:pBdr>
      <w:spacing w:line="240" w:lineRule="auto"/>
      <w:jc w:val="right"/>
    </w:pPr>
    <w:rPr>
      <w:rFonts w:ascii="Times New Roman" w:hAnsi="Times New Roman"/>
      <w:smallCaps/>
      <w:sz w:val="18"/>
    </w:rPr>
  </w:style>
  <w:style w:type="paragraph" w:customStyle="1" w:styleId="Pages">
    <w:name w:val="Pages"/>
    <w:basedOn w:val="Normale"/>
    <w:semiHidden/>
    <w:rsid w:val="002809BB"/>
    <w:pPr>
      <w:spacing w:line="240" w:lineRule="auto"/>
      <w:jc w:val="left"/>
    </w:pPr>
    <w:rPr>
      <w:rFonts w:ascii="Times New Roman" w:hAnsi="Times New Roman"/>
      <w:sz w:val="28"/>
    </w:rPr>
  </w:style>
  <w:style w:type="paragraph" w:styleId="Sottotitolo">
    <w:name w:val="Subtitle"/>
    <w:basedOn w:val="Normale"/>
    <w:link w:val="SottotitoloCarattere"/>
    <w:rsid w:val="002809BB"/>
    <w:pPr>
      <w:spacing w:line="240" w:lineRule="auto"/>
      <w:jc w:val="center"/>
    </w:pPr>
    <w:rPr>
      <w:rFonts w:ascii="Times New Roman" w:hAnsi="Times New Roman"/>
      <w:smallCaps/>
      <w:spacing w:val="20"/>
      <w:sz w:val="28"/>
    </w:rPr>
  </w:style>
  <w:style w:type="character" w:customStyle="1" w:styleId="SottotitoloCarattere">
    <w:name w:val="Sottotitolo Carattere"/>
    <w:basedOn w:val="Carpredefinitoparagrafo"/>
    <w:link w:val="Sottotitolo"/>
    <w:rsid w:val="002809BB"/>
    <w:rPr>
      <w:rFonts w:ascii="Times New Roman" w:eastAsia="Times New Roman" w:hAnsi="Times New Roman" w:cs="Times New Roman"/>
      <w:smallCaps/>
      <w:spacing w:val="20"/>
      <w:sz w:val="28"/>
      <w:szCs w:val="20"/>
      <w:lang w:eastAsia="it-IT"/>
    </w:rPr>
  </w:style>
  <w:style w:type="paragraph" w:customStyle="1" w:styleId="Sottotitolosintesi">
    <w:name w:val="Sottotitolo_sintesi"/>
    <w:basedOn w:val="Normale"/>
    <w:semiHidden/>
    <w:rsid w:val="002809BB"/>
    <w:pPr>
      <w:spacing w:after="60" w:line="240" w:lineRule="atLeast"/>
      <w:jc w:val="center"/>
    </w:pPr>
    <w:rPr>
      <w:rFonts w:ascii="Times New Roman" w:hAnsi="Times New Roman"/>
      <w:b/>
      <w:color w:val="000066"/>
      <w:sz w:val="24"/>
      <w:szCs w:val="24"/>
    </w:rPr>
  </w:style>
  <w:style w:type="paragraph" w:customStyle="1" w:styleId="XV-CopertinaCollana">
    <w:name w:val="XV-Copertina/Collana"/>
    <w:basedOn w:val="Normale"/>
    <w:semiHidden/>
    <w:rsid w:val="002809BB"/>
    <w:pPr>
      <w:spacing w:line="240" w:lineRule="auto"/>
      <w:jc w:val="center"/>
    </w:pPr>
    <w:rPr>
      <w:rFonts w:ascii="Times New Roman" w:hAnsi="Times New Roman"/>
      <w:spacing w:val="60"/>
      <w:sz w:val="36"/>
      <w:szCs w:val="36"/>
    </w:rPr>
  </w:style>
  <w:style w:type="paragraph" w:customStyle="1" w:styleId="XV-Copertinaparteedizione">
    <w:name w:val="XV-Copertina/parteedizione"/>
    <w:basedOn w:val="Titolo8"/>
    <w:semiHidden/>
    <w:rsid w:val="002809BB"/>
    <w:pPr>
      <w:keepNext/>
      <w:spacing w:before="120" w:after="120"/>
      <w:jc w:val="center"/>
    </w:pPr>
    <w:rPr>
      <w:rFonts w:cs="Arial"/>
      <w:i w:val="0"/>
      <w:spacing w:val="20"/>
      <w:sz w:val="26"/>
      <w:szCs w:val="26"/>
    </w:rPr>
  </w:style>
  <w:style w:type="paragraph" w:customStyle="1" w:styleId="XV-Copertinanumero">
    <w:name w:val="XV-Copertina/numero"/>
    <w:basedOn w:val="Normale"/>
    <w:semiHidden/>
    <w:rsid w:val="002809BB"/>
    <w:pPr>
      <w:spacing w:line="240" w:lineRule="auto"/>
      <w:jc w:val="center"/>
    </w:pPr>
    <w:rPr>
      <w:rFonts w:ascii="Times New Roman" w:hAnsi="Times New Roman" w:cs="Arial"/>
      <w:sz w:val="32"/>
      <w:szCs w:val="32"/>
    </w:rPr>
  </w:style>
  <w:style w:type="character" w:customStyle="1" w:styleId="Titolo2articoloCarattere">
    <w:name w:val="Titolo 2(articolo) Carattere"/>
    <w:link w:val="Titolo2articolo"/>
    <w:locked/>
    <w:rsid w:val="002809BB"/>
    <w:rPr>
      <w:rFonts w:ascii="Times New Roman" w:eastAsia="Times New Roman" w:hAnsi="Times New Roman" w:cs="Times New Roman"/>
      <w:b/>
      <w:sz w:val="28"/>
      <w:szCs w:val="20"/>
      <w:lang w:eastAsia="it-IT"/>
    </w:rPr>
  </w:style>
  <w:style w:type="character" w:customStyle="1" w:styleId="RidottoCarattere">
    <w:name w:val="Ridotto Carattere"/>
    <w:link w:val="Ridotto"/>
    <w:rsid w:val="002809BB"/>
    <w:rPr>
      <w:rFonts w:ascii="Times New Roman" w:eastAsia="Times New Roman" w:hAnsi="Times New Roman" w:cs="Times New Roman"/>
      <w:sz w:val="24"/>
      <w:szCs w:val="20"/>
      <w:lang w:eastAsia="it-IT"/>
    </w:rPr>
  </w:style>
  <w:style w:type="paragraph" w:customStyle="1" w:styleId="Intestazionedispari0">
    <w:name w:val="Intestazione dispari"/>
    <w:basedOn w:val="Normale"/>
    <w:semiHidden/>
    <w:rsid w:val="002809BB"/>
    <w:pPr>
      <w:pBdr>
        <w:bottom w:val="single" w:sz="4" w:space="1" w:color="auto"/>
      </w:pBdr>
      <w:spacing w:line="240" w:lineRule="auto"/>
      <w:jc w:val="right"/>
    </w:pPr>
    <w:rPr>
      <w:rFonts w:ascii="Times New Roman" w:hAnsi="Times New Roman"/>
      <w:smallCaps/>
      <w:sz w:val="18"/>
    </w:rPr>
  </w:style>
  <w:style w:type="paragraph" w:customStyle="1" w:styleId="CAM-ASS-Resocontosommarioestenografico">
    <w:name w:val="CAM-ASS-Resoconto sommario e stenografico"/>
    <w:basedOn w:val="Normale"/>
    <w:semiHidden/>
    <w:rsid w:val="002809BB"/>
    <w:pPr>
      <w:spacing w:before="360" w:line="300" w:lineRule="exact"/>
      <w:jc w:val="center"/>
    </w:pPr>
    <w:rPr>
      <w:rFonts w:ascii="Garamond" w:hAnsi="Garamond"/>
      <w:b/>
      <w:spacing w:val="-20"/>
      <w:sz w:val="48"/>
    </w:rPr>
  </w:style>
  <w:style w:type="paragraph" w:customStyle="1" w:styleId="COMMSENtitolocommissione">
    <w:name w:val="COMM_SEN_titolo commissione"/>
    <w:basedOn w:val="Normale"/>
    <w:semiHidden/>
    <w:rsid w:val="002809BB"/>
    <w:pPr>
      <w:spacing w:before="1080" w:after="120" w:line="240" w:lineRule="auto"/>
      <w:jc w:val="center"/>
    </w:pPr>
    <w:rPr>
      <w:rFonts w:ascii="Times New Roman" w:hAnsi="Times New Roman"/>
      <w:b/>
      <w:spacing w:val="26"/>
      <w:sz w:val="28"/>
    </w:rPr>
  </w:style>
  <w:style w:type="paragraph" w:customStyle="1" w:styleId="COMMSENdata">
    <w:name w:val="COMM_SEN_data"/>
    <w:basedOn w:val="Normale"/>
    <w:next w:val="COMMSENseduta"/>
    <w:semiHidden/>
    <w:rsid w:val="002809BB"/>
    <w:pPr>
      <w:spacing w:before="120" w:after="120" w:line="240" w:lineRule="auto"/>
      <w:jc w:val="center"/>
    </w:pPr>
    <w:rPr>
      <w:rFonts w:ascii="Times New Roman" w:hAnsi="Times New Roman"/>
      <w:caps/>
      <w:sz w:val="20"/>
    </w:rPr>
  </w:style>
  <w:style w:type="paragraph" w:customStyle="1" w:styleId="COMMSENseduta">
    <w:name w:val="COMM_SEN_seduta"/>
    <w:basedOn w:val="Normale"/>
    <w:next w:val="Normale"/>
    <w:semiHidden/>
    <w:rsid w:val="002809BB"/>
    <w:pPr>
      <w:spacing w:before="120" w:after="120" w:line="240" w:lineRule="auto"/>
      <w:jc w:val="center"/>
    </w:pPr>
    <w:rPr>
      <w:rFonts w:ascii="Times New Roman" w:hAnsi="Times New Roman"/>
      <w:b/>
      <w:sz w:val="26"/>
    </w:rPr>
  </w:style>
  <w:style w:type="paragraph" w:customStyle="1" w:styleId="ASS-SENXIVLegislatura">
    <w:name w:val="ASS-SEN_XIV Legislatura"/>
    <w:basedOn w:val="Normale"/>
    <w:semiHidden/>
    <w:rsid w:val="002809BB"/>
    <w:pPr>
      <w:spacing w:before="240" w:line="240" w:lineRule="auto"/>
      <w:jc w:val="center"/>
    </w:pPr>
    <w:rPr>
      <w:rFonts w:ascii="Book Antiqua" w:hAnsi="Book Antiqua"/>
      <w:spacing w:val="20"/>
      <w:sz w:val="24"/>
    </w:rPr>
  </w:style>
  <w:style w:type="paragraph" w:customStyle="1" w:styleId="ASS-SENdata">
    <w:name w:val="ASS-SEN_data"/>
    <w:basedOn w:val="Normale"/>
    <w:link w:val="ASS-SENdataCarattere"/>
    <w:semiHidden/>
    <w:rsid w:val="002809BB"/>
    <w:pPr>
      <w:spacing w:before="240" w:after="240" w:line="300" w:lineRule="exact"/>
      <w:jc w:val="center"/>
    </w:pPr>
    <w:rPr>
      <w:rFonts w:ascii="CG Times" w:hAnsi="CG Times"/>
      <w:sz w:val="32"/>
    </w:rPr>
  </w:style>
  <w:style w:type="paragraph" w:customStyle="1" w:styleId="ASS-SENNumeroseduta">
    <w:name w:val="ASS-SEN_Numero seduta"/>
    <w:basedOn w:val="Normale"/>
    <w:link w:val="ASS-SENNumerosedutaCarattere"/>
    <w:semiHidden/>
    <w:rsid w:val="002809BB"/>
    <w:pPr>
      <w:spacing w:before="360" w:after="360" w:line="300" w:lineRule="exact"/>
      <w:ind w:firstLine="527"/>
      <w:jc w:val="right"/>
    </w:pPr>
    <w:rPr>
      <w:rFonts w:ascii="Book Antiqua" w:hAnsi="Book Antiqua"/>
      <w:b/>
      <w:sz w:val="44"/>
    </w:rPr>
  </w:style>
  <w:style w:type="paragraph" w:customStyle="1" w:styleId="ASS-SENResocontosommarioestenografico">
    <w:name w:val="ASS-SENResoconto sommario e stenografico_"/>
    <w:basedOn w:val="Normale"/>
    <w:semiHidden/>
    <w:rsid w:val="002809BB"/>
    <w:pPr>
      <w:spacing w:before="240" w:after="240" w:line="300" w:lineRule="exact"/>
      <w:jc w:val="center"/>
    </w:pPr>
    <w:rPr>
      <w:rFonts w:ascii="CG Times" w:hAnsi="CG Times"/>
      <w:b/>
      <w:spacing w:val="40"/>
      <w:sz w:val="36"/>
    </w:rPr>
  </w:style>
  <w:style w:type="paragraph" w:customStyle="1" w:styleId="ASS-SENSEDUTA">
    <w:name w:val="ASS-SEN_SEDUTA"/>
    <w:basedOn w:val="Normale"/>
    <w:link w:val="ASS-SENSEDUTACarattere"/>
    <w:semiHidden/>
    <w:rsid w:val="002809BB"/>
    <w:pPr>
      <w:spacing w:before="360" w:after="600" w:line="240" w:lineRule="auto"/>
      <w:jc w:val="center"/>
    </w:pPr>
    <w:rPr>
      <w:rFonts w:ascii="Book Antiqua" w:hAnsi="Book Antiqua"/>
      <w:sz w:val="44"/>
    </w:rPr>
  </w:style>
  <w:style w:type="paragraph" w:customStyle="1" w:styleId="CAMCOMMintestazione">
    <w:name w:val="CAM_COMM_intestazione"/>
    <w:basedOn w:val="Intestazione"/>
    <w:semiHidden/>
    <w:rsid w:val="002809BB"/>
    <w:pPr>
      <w:pBdr>
        <w:bottom w:val="double" w:sz="4" w:space="1" w:color="auto"/>
      </w:pBdr>
      <w:tabs>
        <w:tab w:val="clear" w:pos="3969"/>
        <w:tab w:val="clear" w:pos="7938"/>
        <w:tab w:val="center" w:pos="4536"/>
        <w:tab w:val="right" w:pos="9072"/>
      </w:tabs>
      <w:jc w:val="left"/>
    </w:pPr>
    <w:rPr>
      <w:i/>
    </w:rPr>
  </w:style>
  <w:style w:type="paragraph" w:customStyle="1" w:styleId="Ricostruzione">
    <w:name w:val="Ricostruzione"/>
    <w:basedOn w:val="Ridotto"/>
    <w:link w:val="RicostruzioneCarattere"/>
    <w:qFormat/>
    <w:rsid w:val="002809BB"/>
    <w:pPr>
      <w:ind w:left="284" w:right="284" w:firstLine="0"/>
    </w:pPr>
  </w:style>
  <w:style w:type="paragraph" w:customStyle="1" w:styleId="Primaintestazionemessaggio">
    <w:name w:val="Prima intestazione messaggio"/>
    <w:basedOn w:val="Intestazionemessaggio"/>
    <w:next w:val="Intestazionemessaggio"/>
    <w:semiHidden/>
    <w:rsid w:val="002809BB"/>
  </w:style>
  <w:style w:type="paragraph" w:customStyle="1" w:styleId="Ultimointestazionemessaggio">
    <w:name w:val="Ultimo intestazione messaggio"/>
    <w:basedOn w:val="Intestazionemessaggio"/>
    <w:next w:val="Normale"/>
    <w:semiHidden/>
    <w:rsid w:val="002809BB"/>
    <w:pPr>
      <w:pBdr>
        <w:bottom w:val="single" w:sz="6" w:space="19" w:color="auto"/>
        <w:between w:val="single" w:sz="6" w:space="19" w:color="auto"/>
      </w:pBdr>
      <w:tabs>
        <w:tab w:val="left" w:pos="1267"/>
        <w:tab w:val="left" w:pos="2938"/>
      </w:tabs>
      <w:spacing w:before="120" w:after="120"/>
      <w:ind w:left="0" w:firstLine="0"/>
    </w:pPr>
  </w:style>
  <w:style w:type="paragraph" w:customStyle="1" w:styleId="Indirizzomittente1">
    <w:name w:val="Indirizzo mittente 1"/>
    <w:basedOn w:val="Normale"/>
    <w:semiHidden/>
    <w:rsid w:val="002809BB"/>
    <w:pPr>
      <w:keepLines/>
      <w:framePr w:w="5040" w:hSpace="187" w:vSpace="187" w:wrap="notBeside" w:vAnchor="page" w:hAnchor="margin" w:y="966" w:anchorLock="1"/>
      <w:tabs>
        <w:tab w:val="left" w:pos="27814"/>
      </w:tabs>
      <w:spacing w:line="200" w:lineRule="atLeast"/>
      <w:jc w:val="left"/>
    </w:pPr>
    <w:rPr>
      <w:rFonts w:ascii="Times New Roman" w:hAnsi="Times New Roman"/>
      <w:spacing w:val="-2"/>
      <w:sz w:val="16"/>
    </w:rPr>
  </w:style>
  <w:style w:type="paragraph" w:customStyle="1" w:styleId="xcop">
    <w:name w:val="xcop"/>
    <w:basedOn w:val="Titolo1"/>
    <w:semiHidden/>
    <w:rsid w:val="002809BB"/>
    <w:pPr>
      <w:spacing w:before="0" w:after="0" w:line="240" w:lineRule="auto"/>
      <w:ind w:firstLine="284"/>
      <w:outlineLvl w:val="9"/>
    </w:pPr>
    <w:rPr>
      <w:rFonts w:eastAsia="Times New Roman" w:cs="Times New Roman"/>
      <w:bCs w:val="0"/>
      <w:smallCaps/>
      <w:kern w:val="28"/>
      <w:sz w:val="40"/>
      <w:szCs w:val="20"/>
    </w:rPr>
  </w:style>
  <w:style w:type="paragraph" w:customStyle="1" w:styleId="COMITATO-indiceautomatico">
    <w:name w:val="COMITATO - indice automatico"/>
    <w:semiHidden/>
    <w:rsid w:val="002809BB"/>
    <w:pPr>
      <w:spacing w:after="0" w:line="300" w:lineRule="atLeast"/>
      <w:ind w:firstLine="284"/>
      <w:jc w:val="both"/>
    </w:pPr>
    <w:rPr>
      <w:rFonts w:ascii="Arial" w:eastAsia="Times New Roman" w:hAnsi="Arial" w:cs="Times New Roman"/>
      <w:szCs w:val="20"/>
      <w:lang w:eastAsia="it-IT"/>
    </w:rPr>
  </w:style>
  <w:style w:type="paragraph" w:customStyle="1" w:styleId="COSTITUZIONALITA-indiceautomat">
    <w:name w:val="COSTITUZIONALITA'-indice automat"/>
    <w:semiHidden/>
    <w:rsid w:val="002809BB"/>
    <w:pPr>
      <w:spacing w:after="0" w:line="300" w:lineRule="atLeast"/>
      <w:ind w:firstLine="284"/>
      <w:jc w:val="both"/>
    </w:pPr>
    <w:rPr>
      <w:rFonts w:ascii="Arial" w:eastAsia="Times New Roman" w:hAnsi="Arial" w:cs="Times New Roman"/>
      <w:szCs w:val="20"/>
      <w:lang w:eastAsia="it-IT"/>
    </w:rPr>
  </w:style>
  <w:style w:type="paragraph" w:customStyle="1" w:styleId="ACintestazione2">
    <w:name w:val="ACintestazione2"/>
    <w:basedOn w:val="Intestazione"/>
    <w:semiHidden/>
    <w:rsid w:val="002809BB"/>
    <w:pPr>
      <w:tabs>
        <w:tab w:val="clear" w:pos="3969"/>
        <w:tab w:val="clear" w:pos="7938"/>
        <w:tab w:val="center" w:pos="4819"/>
        <w:tab w:val="right" w:pos="8550"/>
      </w:tabs>
      <w:jc w:val="left"/>
    </w:pPr>
    <w:rPr>
      <w:sz w:val="20"/>
    </w:rPr>
  </w:style>
  <w:style w:type="paragraph" w:customStyle="1" w:styleId="COMMSENcorpodeltesto">
    <w:name w:val="COMM_SEN_corpo del testo"/>
    <w:basedOn w:val="Normale"/>
    <w:semiHidden/>
    <w:rsid w:val="002809BB"/>
    <w:pPr>
      <w:spacing w:after="120" w:line="240" w:lineRule="auto"/>
      <w:ind w:firstLine="567"/>
    </w:pPr>
    <w:rPr>
      <w:rFonts w:ascii="Times New Roman" w:hAnsi="Times New Roman"/>
      <w:sz w:val="26"/>
    </w:rPr>
  </w:style>
  <w:style w:type="paragraph" w:customStyle="1" w:styleId="MAIUSCGRCENTR">
    <w:name w:val="MAIUSC/GR/CENTR"/>
    <w:basedOn w:val="Normale"/>
    <w:semiHidden/>
    <w:rsid w:val="002809BB"/>
    <w:pPr>
      <w:spacing w:after="120" w:line="240" w:lineRule="auto"/>
      <w:ind w:firstLine="0"/>
      <w:jc w:val="center"/>
    </w:pPr>
    <w:rPr>
      <w:rFonts w:ascii="Garamond" w:hAnsi="Garamond"/>
      <w:b/>
      <w:caps/>
      <w:sz w:val="24"/>
    </w:rPr>
  </w:style>
  <w:style w:type="paragraph" w:customStyle="1" w:styleId="CAM-COMM-intestazione">
    <w:name w:val="CAM-COMM-intestazione"/>
    <w:basedOn w:val="Intestazione"/>
    <w:semiHidden/>
    <w:rsid w:val="002809BB"/>
    <w:pPr>
      <w:spacing w:after="120"/>
    </w:pPr>
    <w:rPr>
      <w:i/>
    </w:rPr>
  </w:style>
  <w:style w:type="paragraph" w:customStyle="1" w:styleId="intestazioneComitatolegislazione">
    <w:name w:val="intestazione Comitato legislazione"/>
    <w:basedOn w:val="Intestazione"/>
    <w:semiHidden/>
    <w:rsid w:val="002809BB"/>
    <w:pPr>
      <w:pBdr>
        <w:bottom w:val="single" w:sz="6" w:space="1" w:color="auto"/>
      </w:pBdr>
      <w:tabs>
        <w:tab w:val="clear" w:pos="3969"/>
      </w:tabs>
      <w:ind w:right="56"/>
      <w:jc w:val="center"/>
    </w:pPr>
    <w:rPr>
      <w:i/>
    </w:rPr>
  </w:style>
  <w:style w:type="paragraph" w:customStyle="1" w:styleId="NumeroattoComitatoLegislazione">
    <w:name w:val="Numero atto (Comitato Legislazione)"/>
    <w:basedOn w:val="Normale"/>
    <w:semiHidden/>
    <w:rsid w:val="002809BB"/>
    <w:pPr>
      <w:spacing w:before="180" w:line="240" w:lineRule="auto"/>
      <w:ind w:left="284" w:right="284"/>
      <w:jc w:val="center"/>
    </w:pPr>
    <w:rPr>
      <w:rFonts w:ascii="Times New Roman" w:hAnsi="Times New Roman"/>
      <w:i/>
      <w:sz w:val="28"/>
    </w:rPr>
  </w:style>
  <w:style w:type="paragraph" w:customStyle="1" w:styleId="Terminedefinizione">
    <w:name w:val="Termine definizione"/>
    <w:basedOn w:val="Normale"/>
    <w:next w:val="Normale"/>
    <w:semiHidden/>
    <w:rsid w:val="002809BB"/>
    <w:pPr>
      <w:spacing w:line="240" w:lineRule="auto"/>
      <w:jc w:val="left"/>
    </w:pPr>
    <w:rPr>
      <w:rFonts w:ascii="Times New Roman" w:hAnsi="Times New Roman"/>
      <w:sz w:val="24"/>
    </w:rPr>
  </w:style>
  <w:style w:type="paragraph" w:customStyle="1" w:styleId="A-Sintesi">
    <w:name w:val="A-Sintesi"/>
    <w:basedOn w:val="Normale"/>
    <w:link w:val="A-SintesiCarattere"/>
    <w:qFormat/>
    <w:rsid w:val="002809BB"/>
    <w:pPr>
      <w:pBdr>
        <w:left w:val="single" w:sz="48" w:space="4" w:color="0000FF"/>
      </w:pBdr>
      <w:spacing w:line="240" w:lineRule="auto"/>
      <w:ind w:firstLine="0"/>
    </w:pPr>
    <w:rPr>
      <w:rFonts w:ascii="Times New Roman" w:hAnsi="Times New Roman"/>
      <w:sz w:val="26"/>
    </w:rPr>
  </w:style>
  <w:style w:type="paragraph" w:customStyle="1" w:styleId="prova">
    <w:name w:val="prova"/>
    <w:basedOn w:val="Normale"/>
    <w:semiHidden/>
    <w:rsid w:val="002809BB"/>
    <w:pPr>
      <w:spacing w:line="240" w:lineRule="auto"/>
    </w:pPr>
    <w:rPr>
      <w:rFonts w:ascii="Garamond" w:hAnsi="Garamond"/>
      <w:sz w:val="24"/>
    </w:rPr>
  </w:style>
  <w:style w:type="character" w:customStyle="1" w:styleId="commcamdata">
    <w:name w:val="comm_cam_data"/>
    <w:semiHidden/>
    <w:rsid w:val="002809BB"/>
    <w:rPr>
      <w:rFonts w:ascii="Garamond" w:hAnsi="Garamond"/>
      <w:i/>
      <w:iCs/>
      <w:sz w:val="24"/>
      <w:szCs w:val="19"/>
    </w:rPr>
  </w:style>
  <w:style w:type="character" w:styleId="Collegamentovisitato">
    <w:name w:val="FollowedHyperlink"/>
    <w:semiHidden/>
    <w:rsid w:val="002809BB"/>
    <w:rPr>
      <w:color w:val="800080"/>
      <w:u w:val="single"/>
    </w:rPr>
  </w:style>
  <w:style w:type="character" w:customStyle="1" w:styleId="TestonotaapidipaginaCarattere1CarattereCarattereCarattereCarattere">
    <w:name w:val="Testo nota a piè di pagina Carattere1 Carattere Carattere Carattere Carattere"/>
    <w:aliases w:val="Testo nota a piè di pagina Carattere Carattere Carattere Carattere"/>
    <w:semiHidden/>
    <w:rsid w:val="002809BB"/>
    <w:rPr>
      <w:rFonts w:ascii="Arial" w:hAnsi="Arial"/>
      <w:sz w:val="18"/>
      <w:lang w:val="it-IT" w:eastAsia="it-IT" w:bidi="ar-SA"/>
    </w:rPr>
  </w:style>
  <w:style w:type="character" w:customStyle="1" w:styleId="descrif-empty-remove">
    <w:name w:val="descr if-empty-remove"/>
    <w:basedOn w:val="Carpredefinitoparagrafo"/>
    <w:semiHidden/>
    <w:rsid w:val="002809BB"/>
  </w:style>
  <w:style w:type="paragraph" w:customStyle="1" w:styleId="Normaleridotto10">
    <w:name w:val="Normale ridotto (10)"/>
    <w:basedOn w:val="Normale"/>
    <w:link w:val="Normaleridotto10Carattere"/>
    <w:semiHidden/>
    <w:rsid w:val="002809BB"/>
    <w:pPr>
      <w:spacing w:before="60" w:line="300" w:lineRule="exact"/>
    </w:pPr>
    <w:rPr>
      <w:rFonts w:ascii="Times New Roman" w:hAnsi="Times New Roman"/>
      <w:sz w:val="20"/>
    </w:rPr>
  </w:style>
  <w:style w:type="character" w:customStyle="1" w:styleId="Normaleridotto10Carattere">
    <w:name w:val="Normale ridotto (10) Carattere"/>
    <w:link w:val="Normaleridotto10"/>
    <w:semiHidden/>
    <w:rsid w:val="002809BB"/>
    <w:rPr>
      <w:rFonts w:ascii="Times New Roman" w:eastAsia="Times New Roman" w:hAnsi="Times New Roman" w:cs="Times New Roman"/>
      <w:sz w:val="20"/>
      <w:szCs w:val="20"/>
      <w:lang w:eastAsia="it-IT"/>
    </w:rPr>
  </w:style>
  <w:style w:type="paragraph" w:customStyle="1" w:styleId="CarattereCarattereCarattereCarattereCarattereCarattereCarattereCarattereCarattereCarattereCarattere">
    <w:name w:val="Carattere Carattere Carattere Carattere Carattere Carattere Carattere Carattere Carattere Carattere Carattere"/>
    <w:semiHidden/>
    <w:rsid w:val="002809BB"/>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line="240" w:lineRule="auto"/>
      <w:jc w:val="both"/>
    </w:pPr>
    <w:rPr>
      <w:rFonts w:ascii="Arial" w:eastAsia="Times New Roman" w:hAnsi="Arial" w:cs="Arial"/>
      <w:snapToGrid w:val="0"/>
      <w:spacing w:val="-2"/>
      <w:sz w:val="18"/>
      <w:szCs w:val="18"/>
      <w:lang w:val="en-GB" w:eastAsia="en-GB"/>
    </w:rPr>
  </w:style>
  <w:style w:type="paragraph" w:customStyle="1" w:styleId="Style2">
    <w:name w:val="Style 2"/>
    <w:semiHidden/>
    <w:rsid w:val="002809BB"/>
    <w:pPr>
      <w:widowControl w:val="0"/>
      <w:autoSpaceDE w:val="0"/>
      <w:autoSpaceDN w:val="0"/>
      <w:spacing w:after="0" w:line="240" w:lineRule="auto"/>
      <w:jc w:val="both"/>
    </w:pPr>
    <w:rPr>
      <w:rFonts w:ascii="Times New Roman" w:eastAsia="Times New Roman" w:hAnsi="Times New Roman" w:cs="Times New Roman"/>
      <w:sz w:val="24"/>
      <w:szCs w:val="24"/>
      <w:lang w:eastAsia="it-IT"/>
    </w:rPr>
  </w:style>
  <w:style w:type="paragraph" w:customStyle="1" w:styleId="Style1">
    <w:name w:val="Style 1"/>
    <w:semiHidden/>
    <w:rsid w:val="002809BB"/>
    <w:pPr>
      <w:widowControl w:val="0"/>
      <w:autoSpaceDE w:val="0"/>
      <w:autoSpaceDN w:val="0"/>
      <w:adjustRightInd w:val="0"/>
      <w:spacing w:after="0" w:line="240" w:lineRule="auto"/>
    </w:pPr>
    <w:rPr>
      <w:rFonts w:ascii="Times New Roman" w:eastAsia="Times New Roman" w:hAnsi="Times New Roman" w:cs="Times New Roman"/>
      <w:sz w:val="20"/>
      <w:szCs w:val="20"/>
      <w:lang w:eastAsia="it-IT"/>
    </w:rPr>
  </w:style>
  <w:style w:type="paragraph" w:customStyle="1" w:styleId="Style4">
    <w:name w:val="Style 4"/>
    <w:semiHidden/>
    <w:rsid w:val="002809BB"/>
    <w:pPr>
      <w:widowControl w:val="0"/>
      <w:autoSpaceDE w:val="0"/>
      <w:autoSpaceDN w:val="0"/>
      <w:spacing w:after="0" w:line="240" w:lineRule="auto"/>
      <w:ind w:left="792" w:hanging="432"/>
    </w:pPr>
    <w:rPr>
      <w:rFonts w:ascii="Times New Roman" w:eastAsia="Times New Roman" w:hAnsi="Times New Roman" w:cs="Times New Roman"/>
      <w:sz w:val="24"/>
      <w:szCs w:val="24"/>
      <w:lang w:eastAsia="it-IT"/>
    </w:rPr>
  </w:style>
  <w:style w:type="paragraph" w:customStyle="1" w:styleId="provvr0">
    <w:name w:val="provv_r0"/>
    <w:basedOn w:val="Normale"/>
    <w:semiHidden/>
    <w:rsid w:val="002809BB"/>
    <w:pPr>
      <w:spacing w:before="100" w:beforeAutospacing="1" w:after="100" w:afterAutospacing="1" w:line="240" w:lineRule="auto"/>
    </w:pPr>
    <w:rPr>
      <w:rFonts w:ascii="Times New Roman" w:hAnsi="Times New Roman"/>
      <w:sz w:val="24"/>
      <w:szCs w:val="24"/>
    </w:rPr>
  </w:style>
  <w:style w:type="character" w:customStyle="1" w:styleId="provvrubrica">
    <w:name w:val="provv_rubrica"/>
    <w:semiHidden/>
    <w:rsid w:val="002809BB"/>
    <w:rPr>
      <w:i/>
      <w:iCs/>
    </w:rPr>
  </w:style>
  <w:style w:type="paragraph" w:customStyle="1" w:styleId="massimaestremo">
    <w:name w:val="massima_estremo"/>
    <w:basedOn w:val="Normale"/>
    <w:semiHidden/>
    <w:rsid w:val="002809BB"/>
    <w:pPr>
      <w:spacing w:before="100" w:beforeAutospacing="1" w:after="100" w:afterAutospacing="1" w:line="240" w:lineRule="auto"/>
      <w:jc w:val="left"/>
    </w:pPr>
    <w:rPr>
      <w:rFonts w:ascii="Times New Roman" w:hAnsi="Times New Roman"/>
      <w:i/>
      <w:iCs/>
      <w:sz w:val="24"/>
      <w:szCs w:val="24"/>
    </w:rPr>
  </w:style>
  <w:style w:type="paragraph" w:styleId="NormaleWeb">
    <w:name w:val="Normal (Web)"/>
    <w:basedOn w:val="Normale"/>
    <w:semiHidden/>
    <w:rsid w:val="002809BB"/>
    <w:pPr>
      <w:spacing w:before="100" w:beforeAutospacing="1" w:after="100" w:afterAutospacing="1" w:line="240" w:lineRule="auto"/>
      <w:jc w:val="left"/>
    </w:pPr>
    <w:rPr>
      <w:rFonts w:ascii="Times New Roman" w:hAnsi="Times New Roman"/>
      <w:sz w:val="24"/>
      <w:szCs w:val="24"/>
    </w:rPr>
  </w:style>
  <w:style w:type="character" w:customStyle="1" w:styleId="highlight1">
    <w:name w:val="highlight1"/>
    <w:semiHidden/>
    <w:rsid w:val="002809BB"/>
    <w:rPr>
      <w:b/>
      <w:bCs/>
      <w:i/>
      <w:iCs/>
      <w:color w:val="FF0000"/>
    </w:rPr>
  </w:style>
  <w:style w:type="character" w:customStyle="1" w:styleId="linkneltesto">
    <w:name w:val="link_nel_testo"/>
    <w:rsid w:val="002809BB"/>
    <w:rPr>
      <w:i/>
      <w:iCs/>
    </w:rPr>
  </w:style>
  <w:style w:type="character" w:customStyle="1" w:styleId="provvnumart">
    <w:name w:val="provv_numart"/>
    <w:semiHidden/>
    <w:rsid w:val="002809BB"/>
    <w:rPr>
      <w:b/>
      <w:bCs/>
    </w:rPr>
  </w:style>
  <w:style w:type="character" w:customStyle="1" w:styleId="provvvigore">
    <w:name w:val="provv_vigore"/>
    <w:semiHidden/>
    <w:rsid w:val="002809BB"/>
    <w:rPr>
      <w:vanish/>
      <w:webHidden w:val="0"/>
      <w:specVanish w:val="0"/>
    </w:rPr>
  </w:style>
  <w:style w:type="character" w:customStyle="1" w:styleId="provvnumcomma">
    <w:name w:val="provv_numcomma"/>
    <w:basedOn w:val="Carpredefinitoparagrafo"/>
    <w:semiHidden/>
    <w:rsid w:val="002809BB"/>
  </w:style>
  <w:style w:type="character" w:customStyle="1" w:styleId="if-empty-remove">
    <w:name w:val="if-empty-remove"/>
    <w:basedOn w:val="Carpredefinitoparagrafo"/>
    <w:semiHidden/>
    <w:rsid w:val="002809BB"/>
  </w:style>
  <w:style w:type="character" w:customStyle="1" w:styleId="highlightclass">
    <w:name w:val="highlight_class"/>
    <w:basedOn w:val="Carpredefinitoparagrafo"/>
    <w:semiHidden/>
    <w:rsid w:val="002809BB"/>
  </w:style>
  <w:style w:type="character" w:customStyle="1" w:styleId="FootnoteTextChar">
    <w:name w:val="Footnote Text Char"/>
    <w:aliases w:val="Carattere Char,Testo nota a piè di pagina Carattere1 Char,Testo nota a piè di pagina Carattere Carattere Char,Testo nota a piè di pagina Carattere1 Carattere Carattere Char,fn Char"/>
    <w:semiHidden/>
    <w:locked/>
    <w:rsid w:val="002809BB"/>
    <w:rPr>
      <w:rFonts w:ascii="Arial" w:hAnsi="Arial"/>
      <w:sz w:val="18"/>
      <w:lang w:val="it-IT" w:eastAsia="it-IT" w:bidi="ar-SA"/>
    </w:rPr>
  </w:style>
  <w:style w:type="character" w:styleId="Enfasicorsivo">
    <w:name w:val="Emphasis"/>
    <w:uiPriority w:val="20"/>
    <w:rsid w:val="002809BB"/>
    <w:rPr>
      <w:i/>
    </w:rPr>
  </w:style>
  <w:style w:type="character" w:customStyle="1" w:styleId="ASS-SENdataCarattere">
    <w:name w:val="ASS-SEN_data Carattere"/>
    <w:link w:val="ASS-SENdata"/>
    <w:semiHidden/>
    <w:rsid w:val="002809BB"/>
    <w:rPr>
      <w:rFonts w:ascii="CG Times" w:eastAsia="Times New Roman" w:hAnsi="CG Times" w:cs="Times New Roman"/>
      <w:sz w:val="32"/>
      <w:szCs w:val="20"/>
      <w:lang w:eastAsia="it-IT"/>
    </w:rPr>
  </w:style>
  <w:style w:type="character" w:customStyle="1" w:styleId="ASS-SENNumerosedutaCarattere">
    <w:name w:val="ASS-SEN_Numero seduta Carattere"/>
    <w:link w:val="ASS-SENNumeroseduta"/>
    <w:semiHidden/>
    <w:rsid w:val="002809BB"/>
    <w:rPr>
      <w:rFonts w:ascii="Book Antiqua" w:eastAsia="Times New Roman" w:hAnsi="Book Antiqua" w:cs="Times New Roman"/>
      <w:b/>
      <w:sz w:val="44"/>
      <w:szCs w:val="20"/>
      <w:lang w:eastAsia="it-IT"/>
    </w:rPr>
  </w:style>
  <w:style w:type="character" w:customStyle="1" w:styleId="ASS-SENSEDUTACarattere">
    <w:name w:val="ASS-SEN_SEDUTA Carattere"/>
    <w:basedOn w:val="Carpredefinitoparagrafo"/>
    <w:link w:val="ASS-SENSEDUTA"/>
    <w:semiHidden/>
    <w:rsid w:val="002809BB"/>
    <w:rPr>
      <w:rFonts w:ascii="Book Antiqua" w:eastAsia="Times New Roman" w:hAnsi="Book Antiqua" w:cs="Times New Roman"/>
      <w:sz w:val="44"/>
      <w:szCs w:val="20"/>
      <w:lang w:eastAsia="it-IT"/>
    </w:rPr>
  </w:style>
  <w:style w:type="paragraph" w:customStyle="1" w:styleId="DATA-ASS-SENATO">
    <w:name w:val="DATA-ASS-SENATO"/>
    <w:basedOn w:val="ASS-SENdata"/>
    <w:link w:val="DATA-ASS-SENATOCarattere"/>
    <w:semiHidden/>
    <w:rsid w:val="002809BB"/>
    <w:rPr>
      <w:rFonts w:eastAsia="MS Mincho"/>
      <w:lang w:eastAsia="ja-JP"/>
    </w:rPr>
  </w:style>
  <w:style w:type="character" w:customStyle="1" w:styleId="DATA-ASS-SENATOCarattere">
    <w:name w:val="DATA-ASS-SENATO Carattere"/>
    <w:link w:val="DATA-ASS-SENATO"/>
    <w:semiHidden/>
    <w:rsid w:val="002809BB"/>
    <w:rPr>
      <w:rFonts w:ascii="CG Times" w:eastAsia="MS Mincho" w:hAnsi="CG Times" w:cs="Times New Roman"/>
      <w:sz w:val="32"/>
      <w:szCs w:val="20"/>
      <w:lang w:eastAsia="ja-JP"/>
    </w:rPr>
  </w:style>
  <w:style w:type="paragraph" w:customStyle="1" w:styleId="DATASenComm">
    <w:name w:val="DATASenComm"/>
    <w:basedOn w:val="Normale"/>
    <w:link w:val="DATASenCommCarattere"/>
    <w:semiHidden/>
    <w:rsid w:val="002809BB"/>
    <w:pPr>
      <w:spacing w:line="240" w:lineRule="auto"/>
      <w:jc w:val="center"/>
    </w:pPr>
    <w:rPr>
      <w:rFonts w:ascii="Garamond" w:eastAsia="MS Mincho" w:hAnsi="Garamond"/>
      <w:sz w:val="24"/>
      <w:szCs w:val="24"/>
      <w:lang w:eastAsia="ja-JP"/>
    </w:rPr>
  </w:style>
  <w:style w:type="character" w:customStyle="1" w:styleId="DATASenCommCarattere">
    <w:name w:val="DATASenComm Carattere"/>
    <w:link w:val="DATASenComm"/>
    <w:semiHidden/>
    <w:rsid w:val="002809BB"/>
    <w:rPr>
      <w:rFonts w:ascii="Garamond" w:eastAsia="MS Mincho" w:hAnsi="Garamond" w:cs="Times New Roman"/>
      <w:sz w:val="24"/>
      <w:szCs w:val="24"/>
      <w:lang w:eastAsia="ja-JP"/>
    </w:rPr>
  </w:style>
  <w:style w:type="paragraph" w:customStyle="1" w:styleId="Notapidipagina">
    <w:name w:val="Nota piè di pagina"/>
    <w:basedOn w:val="Normale"/>
    <w:link w:val="NotapidipaginaCarattere"/>
    <w:rsid w:val="002809BB"/>
    <w:pPr>
      <w:tabs>
        <w:tab w:val="left" w:pos="284"/>
      </w:tabs>
      <w:spacing w:line="240" w:lineRule="auto"/>
      <w:ind w:left="284" w:hanging="284"/>
    </w:pPr>
    <w:rPr>
      <w:rFonts w:ascii="Times New Roman" w:hAnsi="Times New Roman"/>
      <w:sz w:val="20"/>
    </w:rPr>
  </w:style>
  <w:style w:type="character" w:customStyle="1" w:styleId="NotapidipaginaCarattere">
    <w:name w:val="Nota piè di pagina Carattere"/>
    <w:basedOn w:val="TestonotaapidipaginaCarattere"/>
    <w:link w:val="Notapidipagina"/>
    <w:rsid w:val="002809BB"/>
    <w:rPr>
      <w:rFonts w:ascii="Times New Roman" w:eastAsia="Times New Roman" w:hAnsi="Times New Roman" w:cs="Times New Roman"/>
      <w:sz w:val="20"/>
      <w:szCs w:val="20"/>
      <w:lang w:eastAsia="it-IT"/>
    </w:rPr>
  </w:style>
  <w:style w:type="character" w:customStyle="1" w:styleId="Collegamentoipertestuale1">
    <w:name w:val="Collegamento ipertestuale1"/>
    <w:semiHidden/>
    <w:rsid w:val="002809BB"/>
    <w:rPr>
      <w:strike w:val="0"/>
      <w:dstrike w:val="0"/>
      <w:color w:val="0000FF"/>
      <w:u w:val="none"/>
      <w:effect w:val="none"/>
      <w:shd w:val="clear" w:color="auto" w:fill="auto"/>
    </w:rPr>
  </w:style>
  <w:style w:type="character" w:customStyle="1" w:styleId="Collegamentoipertestuale2">
    <w:name w:val="Collegamento ipertestuale2"/>
    <w:semiHidden/>
    <w:rsid w:val="002809BB"/>
    <w:rPr>
      <w:strike w:val="0"/>
      <w:dstrike w:val="0"/>
      <w:color w:val="0000FF"/>
      <w:u w:val="none"/>
      <w:effect w:val="none"/>
      <w:shd w:val="clear" w:color="auto" w:fill="auto"/>
    </w:rPr>
  </w:style>
  <w:style w:type="character" w:customStyle="1" w:styleId="DATA-ASS-SEN">
    <w:name w:val="DATA-ASS-SEN"/>
    <w:basedOn w:val="Carpredefinitoparagrafo"/>
    <w:semiHidden/>
    <w:rsid w:val="002809BB"/>
  </w:style>
  <w:style w:type="paragraph" w:customStyle="1" w:styleId="XV-ASS-SENRESOCONTO">
    <w:name w:val="XV-ASS-SEN_RESOCONTO"/>
    <w:basedOn w:val="Normale"/>
    <w:semiHidden/>
    <w:rsid w:val="002809BB"/>
    <w:pPr>
      <w:spacing w:before="120" w:line="240" w:lineRule="auto"/>
      <w:ind w:right="-68"/>
      <w:jc w:val="left"/>
    </w:pPr>
    <w:rPr>
      <w:rFonts w:ascii="CG Times" w:eastAsia="MS Mincho" w:hAnsi="CG Times"/>
      <w:sz w:val="36"/>
      <w:szCs w:val="36"/>
      <w:lang w:eastAsia="ja-JP"/>
    </w:rPr>
  </w:style>
  <w:style w:type="character" w:customStyle="1" w:styleId="DATA-ASS-SEN-XV">
    <w:name w:val="DATA-ASS-SEN-XV"/>
    <w:basedOn w:val="Carpredefinitoparagrafo"/>
    <w:semiHidden/>
    <w:rsid w:val="002809BB"/>
  </w:style>
  <w:style w:type="paragraph" w:customStyle="1" w:styleId="XV-ASS-SENPresidenza">
    <w:name w:val="XV-ASS-SEN_Presidenza"/>
    <w:basedOn w:val="ASS-SENdata"/>
    <w:semiHidden/>
    <w:rsid w:val="002809BB"/>
    <w:pPr>
      <w:spacing w:line="240" w:lineRule="auto"/>
      <w:jc w:val="left"/>
    </w:pPr>
    <w:rPr>
      <w:rFonts w:eastAsia="MS Mincho"/>
      <w:sz w:val="28"/>
      <w:szCs w:val="28"/>
      <w:lang w:eastAsia="ja-JP"/>
    </w:rPr>
  </w:style>
  <w:style w:type="paragraph" w:customStyle="1" w:styleId="XV-Copertinacamera">
    <w:name w:val="XV-Copertina/camera"/>
    <w:basedOn w:val="Normale"/>
    <w:semiHidden/>
    <w:rsid w:val="002809BB"/>
    <w:pPr>
      <w:spacing w:line="240" w:lineRule="auto"/>
      <w:jc w:val="center"/>
    </w:pPr>
    <w:rPr>
      <w:rFonts w:ascii="Times New Roman" w:eastAsia="MS Mincho" w:hAnsi="Times New Roman"/>
      <w:sz w:val="40"/>
      <w:szCs w:val="40"/>
    </w:rPr>
  </w:style>
  <w:style w:type="character" w:customStyle="1" w:styleId="CAMCOMMX-XIII">
    <w:name w:val="CAM_COMM_X-XIII"/>
    <w:basedOn w:val="Carpredefinitoparagrafo"/>
    <w:semiHidden/>
    <w:rsid w:val="002809BB"/>
  </w:style>
  <w:style w:type="character" w:customStyle="1" w:styleId="CAMCOMMRIUO1">
    <w:name w:val="CAM_COMM_RIU_O1"/>
    <w:basedOn w:val="CAMCOMMX-XIII"/>
    <w:semiHidden/>
    <w:rsid w:val="002809BB"/>
  </w:style>
  <w:style w:type="character" w:customStyle="1" w:styleId="CAMCOMMRIU02">
    <w:name w:val="CAM_COMM_RIU_02"/>
    <w:basedOn w:val="CAMCOMMX-XIII"/>
    <w:semiHidden/>
    <w:rsid w:val="002809BB"/>
  </w:style>
  <w:style w:type="paragraph" w:styleId="Testofumetto">
    <w:name w:val="Balloon Text"/>
    <w:basedOn w:val="Normale"/>
    <w:link w:val="TestofumettoCarattere"/>
    <w:semiHidden/>
    <w:rsid w:val="002809BB"/>
    <w:pPr>
      <w:spacing w:line="240" w:lineRule="auto"/>
    </w:pPr>
    <w:rPr>
      <w:rFonts w:ascii="Tahoma" w:eastAsia="MS Mincho" w:hAnsi="Tahoma" w:cs="Tahoma"/>
      <w:sz w:val="16"/>
      <w:szCs w:val="16"/>
      <w:lang w:eastAsia="ja-JP"/>
    </w:rPr>
  </w:style>
  <w:style w:type="character" w:customStyle="1" w:styleId="TestofumettoCarattere">
    <w:name w:val="Testo fumetto Carattere"/>
    <w:basedOn w:val="Carpredefinitoparagrafo"/>
    <w:link w:val="Testofumetto"/>
    <w:semiHidden/>
    <w:rsid w:val="002809BB"/>
    <w:rPr>
      <w:rFonts w:ascii="Tahoma" w:eastAsia="MS Mincho" w:hAnsi="Tahoma" w:cs="Tahoma"/>
      <w:sz w:val="16"/>
      <w:szCs w:val="16"/>
      <w:lang w:eastAsia="ja-JP"/>
    </w:rPr>
  </w:style>
  <w:style w:type="paragraph" w:customStyle="1" w:styleId="Normalesintesi">
    <w:name w:val="Normale_sintesi"/>
    <w:basedOn w:val="Normale"/>
    <w:semiHidden/>
    <w:rsid w:val="002809BB"/>
    <w:pPr>
      <w:keepNext/>
      <w:keepLines/>
      <w:spacing w:line="240" w:lineRule="atLeast"/>
    </w:pPr>
    <w:rPr>
      <w:rFonts w:ascii="Times New Roman" w:eastAsia="MS Mincho" w:hAnsi="Times New Roman"/>
      <w:sz w:val="18"/>
      <w:szCs w:val="18"/>
      <w:lang w:eastAsia="ja-JP"/>
    </w:rPr>
  </w:style>
  <w:style w:type="paragraph" w:customStyle="1" w:styleId="Normalesintesitab">
    <w:name w:val="Normale_sintesi_tab"/>
    <w:basedOn w:val="Normale"/>
    <w:semiHidden/>
    <w:rsid w:val="002809BB"/>
    <w:pPr>
      <w:spacing w:line="240" w:lineRule="atLeast"/>
    </w:pPr>
    <w:rPr>
      <w:rFonts w:ascii="Times New Roman" w:eastAsia="MS Mincho" w:hAnsi="Times New Roman"/>
      <w:b/>
      <w:i/>
      <w:color w:val="000066"/>
      <w:sz w:val="18"/>
      <w:szCs w:val="24"/>
      <w:lang w:eastAsia="ja-JP"/>
    </w:rPr>
  </w:style>
  <w:style w:type="paragraph" w:customStyle="1" w:styleId="Normalesintesitab1">
    <w:name w:val="Normale_sintesi_tab_1"/>
    <w:basedOn w:val="Normalesintesitab"/>
    <w:semiHidden/>
    <w:rsid w:val="002809BB"/>
    <w:pPr>
      <w:spacing w:line="240" w:lineRule="auto"/>
      <w:ind w:left="284"/>
      <w:jc w:val="left"/>
    </w:pPr>
    <w:rPr>
      <w:b w:val="0"/>
      <w:szCs w:val="18"/>
    </w:rPr>
  </w:style>
  <w:style w:type="paragraph" w:customStyle="1" w:styleId="StileNormalesintesi">
    <w:name w:val="Stile Normale_sintesi +"/>
    <w:basedOn w:val="Normalesintesi"/>
    <w:semiHidden/>
    <w:rsid w:val="002809BB"/>
    <w:rPr>
      <w:bCs/>
      <w:iCs/>
      <w:color w:val="000080"/>
    </w:rPr>
  </w:style>
  <w:style w:type="paragraph" w:customStyle="1" w:styleId="Normalesintesipi">
    <w:name w:val="Normale_sintesi_piè"/>
    <w:basedOn w:val="Normale"/>
    <w:semiHidden/>
    <w:rsid w:val="002809BB"/>
    <w:pPr>
      <w:pBdr>
        <w:top w:val="single" w:sz="4" w:space="1" w:color="000066"/>
        <w:bottom w:val="single" w:sz="4" w:space="1" w:color="000066"/>
      </w:pBdr>
      <w:tabs>
        <w:tab w:val="center" w:pos="5103"/>
        <w:tab w:val="right" w:pos="10206"/>
      </w:tabs>
      <w:spacing w:line="160" w:lineRule="atLeast"/>
    </w:pPr>
    <w:rPr>
      <w:rFonts w:ascii="Times New Roman" w:eastAsia="MS Mincho" w:hAnsi="Times New Roman" w:cs="Arial"/>
      <w:i/>
      <w:sz w:val="16"/>
      <w:szCs w:val="16"/>
      <w:lang w:eastAsia="ja-JP"/>
    </w:rPr>
  </w:style>
  <w:style w:type="paragraph" w:customStyle="1" w:styleId="Normalesintesipi1">
    <w:name w:val="Normale_sintesi_piè1"/>
    <w:basedOn w:val="Normale"/>
    <w:semiHidden/>
    <w:rsid w:val="002809BB"/>
    <w:pPr>
      <w:pBdr>
        <w:top w:val="single" w:sz="4" w:space="1" w:color="000066"/>
        <w:bottom w:val="single" w:sz="4" w:space="1" w:color="000066"/>
      </w:pBdr>
      <w:tabs>
        <w:tab w:val="center" w:pos="5103"/>
        <w:tab w:val="right" w:pos="10206"/>
      </w:tabs>
      <w:spacing w:line="240" w:lineRule="atLeast"/>
    </w:pPr>
    <w:rPr>
      <w:rFonts w:ascii="Times New Roman" w:eastAsia="MS Mincho" w:hAnsi="Times New Roman" w:cs="Arial"/>
      <w:b/>
      <w:smallCaps/>
      <w:color w:val="000066"/>
      <w:sz w:val="18"/>
      <w:szCs w:val="18"/>
      <w:lang w:eastAsia="ja-JP"/>
    </w:rPr>
  </w:style>
  <w:style w:type="paragraph" w:customStyle="1" w:styleId="Normalestileint">
    <w:name w:val="Normale_stile_int"/>
    <w:basedOn w:val="Normale"/>
    <w:semiHidden/>
    <w:rsid w:val="002809BB"/>
    <w:pPr>
      <w:tabs>
        <w:tab w:val="right" w:pos="9972"/>
      </w:tabs>
      <w:spacing w:line="240" w:lineRule="atLeast"/>
      <w:jc w:val="left"/>
    </w:pPr>
    <w:rPr>
      <w:rFonts w:ascii="Times New Roman" w:eastAsia="MS Mincho" w:hAnsi="Times New Roman" w:cs="Arial"/>
      <w:b/>
      <w:color w:val="FFFFFF"/>
      <w:sz w:val="20"/>
      <w:lang w:eastAsia="ja-JP"/>
    </w:rPr>
  </w:style>
  <w:style w:type="paragraph" w:customStyle="1" w:styleId="Normalestilepi2">
    <w:name w:val="Normale_stile_piè2"/>
    <w:basedOn w:val="Normale"/>
    <w:semiHidden/>
    <w:rsid w:val="002809BB"/>
    <w:pPr>
      <w:pBdr>
        <w:top w:val="single" w:sz="4" w:space="1" w:color="000066"/>
        <w:bottom w:val="single" w:sz="4" w:space="1" w:color="000066"/>
      </w:pBdr>
      <w:tabs>
        <w:tab w:val="center" w:pos="5103"/>
        <w:tab w:val="right" w:pos="10206"/>
      </w:tabs>
      <w:spacing w:line="240" w:lineRule="atLeast"/>
    </w:pPr>
    <w:rPr>
      <w:rFonts w:ascii="Times New Roman" w:eastAsia="MS Mincho" w:hAnsi="Times New Roman" w:cs="Arial"/>
      <w:color w:val="000066"/>
      <w:sz w:val="18"/>
      <w:szCs w:val="18"/>
      <w:lang w:eastAsia="ja-JP"/>
    </w:rPr>
  </w:style>
  <w:style w:type="paragraph" w:customStyle="1" w:styleId="TitoloNews">
    <w:name w:val="Titolo News"/>
    <w:basedOn w:val="Normale"/>
    <w:next w:val="Normale"/>
    <w:semiHidden/>
    <w:rsid w:val="002809BB"/>
    <w:pPr>
      <w:spacing w:line="240" w:lineRule="auto"/>
      <w:jc w:val="right"/>
    </w:pPr>
    <w:rPr>
      <w:rFonts w:ascii="Times New Roman" w:eastAsia="MS Mincho" w:hAnsi="Times New Roman"/>
      <w:b/>
      <w:color w:val="FFFFFF"/>
      <w:sz w:val="26"/>
      <w:lang w:eastAsia="ja-JP"/>
    </w:rPr>
  </w:style>
  <w:style w:type="paragraph" w:customStyle="1" w:styleId="titolonews01">
    <w:name w:val="titolo news01"/>
    <w:basedOn w:val="TitoloNews"/>
    <w:semiHidden/>
    <w:rsid w:val="002809BB"/>
  </w:style>
  <w:style w:type="paragraph" w:customStyle="1" w:styleId="TitoloNews02">
    <w:name w:val="Titolo News02"/>
    <w:basedOn w:val="Normale"/>
    <w:next w:val="Normale"/>
    <w:semiHidden/>
    <w:rsid w:val="002809BB"/>
    <w:pPr>
      <w:spacing w:line="240" w:lineRule="auto"/>
      <w:jc w:val="right"/>
    </w:pPr>
    <w:rPr>
      <w:rFonts w:ascii="Times New Roman" w:eastAsia="MS Mincho" w:hAnsi="Times New Roman"/>
      <w:b/>
      <w:color w:val="FFFFFF"/>
      <w:sz w:val="26"/>
      <w:lang w:eastAsia="ja-JP"/>
    </w:rPr>
  </w:style>
  <w:style w:type="paragraph" w:customStyle="1" w:styleId="TitoloNews03">
    <w:name w:val="Titolo News03"/>
    <w:basedOn w:val="Normale"/>
    <w:semiHidden/>
    <w:rsid w:val="002809BB"/>
    <w:pPr>
      <w:spacing w:line="240" w:lineRule="auto"/>
      <w:jc w:val="right"/>
    </w:pPr>
    <w:rPr>
      <w:rFonts w:ascii="Times New Roman" w:eastAsia="MS Mincho" w:hAnsi="Times New Roman"/>
      <w:b/>
      <w:color w:val="FFFFFF"/>
      <w:sz w:val="26"/>
      <w:lang w:eastAsia="ja-JP"/>
    </w:rPr>
  </w:style>
  <w:style w:type="paragraph" w:customStyle="1" w:styleId="TitoloNews04">
    <w:name w:val="Titolo News04"/>
    <w:basedOn w:val="Normale"/>
    <w:next w:val="Normale"/>
    <w:semiHidden/>
    <w:rsid w:val="002809BB"/>
    <w:pPr>
      <w:spacing w:line="240" w:lineRule="auto"/>
      <w:jc w:val="right"/>
    </w:pPr>
    <w:rPr>
      <w:rFonts w:ascii="Times New Roman" w:eastAsia="MS Mincho" w:hAnsi="Times New Roman"/>
      <w:b/>
      <w:color w:val="FFFFFF"/>
      <w:sz w:val="26"/>
      <w:lang w:eastAsia="ja-JP"/>
    </w:rPr>
  </w:style>
  <w:style w:type="paragraph" w:customStyle="1" w:styleId="Titolonews010">
    <w:name w:val="Titolo news01"/>
    <w:basedOn w:val="TitoloNews"/>
    <w:next w:val="Normale"/>
    <w:semiHidden/>
    <w:rsid w:val="002809BB"/>
  </w:style>
  <w:style w:type="paragraph" w:customStyle="1" w:styleId="TitoloNews05">
    <w:name w:val="Titolo News05"/>
    <w:basedOn w:val="TitoloNews"/>
    <w:next w:val="Normale"/>
    <w:semiHidden/>
    <w:rsid w:val="002809BB"/>
  </w:style>
  <w:style w:type="paragraph" w:customStyle="1" w:styleId="TitoloNews06">
    <w:name w:val="Titolo News06"/>
    <w:basedOn w:val="TitoloNews"/>
    <w:next w:val="Normale"/>
    <w:semiHidden/>
    <w:rsid w:val="002809BB"/>
  </w:style>
  <w:style w:type="paragraph" w:customStyle="1" w:styleId="TitoloNews07">
    <w:name w:val="Titolo News07"/>
    <w:basedOn w:val="TitoloNews"/>
    <w:next w:val="Normale"/>
    <w:semiHidden/>
    <w:rsid w:val="002809BB"/>
  </w:style>
  <w:style w:type="paragraph" w:customStyle="1" w:styleId="newst13">
    <w:name w:val="news_t13"/>
    <w:basedOn w:val="Normale"/>
    <w:next w:val="Normale"/>
    <w:semiHidden/>
    <w:rsid w:val="002809BB"/>
    <w:pPr>
      <w:spacing w:line="240" w:lineRule="auto"/>
      <w:ind w:left="-117"/>
      <w:jc w:val="right"/>
    </w:pPr>
    <w:rPr>
      <w:rFonts w:ascii="Times New Roman" w:eastAsia="MS Mincho" w:hAnsi="Times New Roman"/>
      <w:b/>
      <w:color w:val="FFFFFF"/>
      <w:sz w:val="26"/>
      <w:szCs w:val="22"/>
      <w:lang w:eastAsia="ja-JP"/>
    </w:rPr>
  </w:style>
  <w:style w:type="paragraph" w:customStyle="1" w:styleId="newst14">
    <w:name w:val="news_t14"/>
    <w:basedOn w:val="Normale"/>
    <w:next w:val="Normale"/>
    <w:semiHidden/>
    <w:rsid w:val="002809BB"/>
    <w:pPr>
      <w:spacing w:line="240" w:lineRule="auto"/>
      <w:ind w:left="-117"/>
      <w:jc w:val="right"/>
    </w:pPr>
    <w:rPr>
      <w:rFonts w:ascii="Times New Roman" w:eastAsia="MS Mincho" w:hAnsi="Times New Roman"/>
      <w:b/>
      <w:color w:val="FFFFFF"/>
      <w:sz w:val="26"/>
      <w:szCs w:val="22"/>
      <w:lang w:eastAsia="ja-JP"/>
    </w:rPr>
  </w:style>
  <w:style w:type="paragraph" w:customStyle="1" w:styleId="newst15">
    <w:name w:val="news_t15"/>
    <w:basedOn w:val="Normale"/>
    <w:next w:val="Normale"/>
    <w:semiHidden/>
    <w:rsid w:val="002809BB"/>
    <w:pPr>
      <w:spacing w:line="240" w:lineRule="auto"/>
      <w:ind w:left="-117"/>
      <w:jc w:val="right"/>
    </w:pPr>
    <w:rPr>
      <w:rFonts w:ascii="Times New Roman" w:eastAsia="MS Mincho" w:hAnsi="Times New Roman"/>
      <w:b/>
      <w:color w:val="FFFFFF"/>
      <w:sz w:val="26"/>
      <w:szCs w:val="22"/>
      <w:lang w:eastAsia="ja-JP"/>
    </w:rPr>
  </w:style>
  <w:style w:type="paragraph" w:customStyle="1" w:styleId="newst16">
    <w:name w:val="news_t16"/>
    <w:basedOn w:val="Normale"/>
    <w:next w:val="Normale"/>
    <w:semiHidden/>
    <w:rsid w:val="002809BB"/>
    <w:pPr>
      <w:spacing w:line="240" w:lineRule="auto"/>
      <w:ind w:left="-117"/>
      <w:jc w:val="right"/>
    </w:pPr>
    <w:rPr>
      <w:rFonts w:ascii="Times New Roman" w:eastAsia="MS Mincho" w:hAnsi="Times New Roman"/>
      <w:b/>
      <w:color w:val="FFFFFF"/>
      <w:sz w:val="26"/>
      <w:szCs w:val="22"/>
      <w:lang w:eastAsia="ja-JP"/>
    </w:rPr>
  </w:style>
  <w:style w:type="paragraph" w:customStyle="1" w:styleId="newst17">
    <w:name w:val="news_t17"/>
    <w:basedOn w:val="Normale"/>
    <w:semiHidden/>
    <w:rsid w:val="002809BB"/>
    <w:pPr>
      <w:spacing w:line="240" w:lineRule="auto"/>
      <w:ind w:left="-117"/>
      <w:jc w:val="right"/>
    </w:pPr>
    <w:rPr>
      <w:rFonts w:ascii="Times New Roman" w:eastAsia="MS Mincho" w:hAnsi="Times New Roman"/>
      <w:b/>
      <w:color w:val="FFFFFF"/>
      <w:sz w:val="26"/>
      <w:szCs w:val="22"/>
      <w:lang w:eastAsia="ja-JP"/>
    </w:rPr>
  </w:style>
  <w:style w:type="paragraph" w:customStyle="1" w:styleId="newst18">
    <w:name w:val="news_t18"/>
    <w:basedOn w:val="Normale"/>
    <w:next w:val="Normale"/>
    <w:semiHidden/>
    <w:rsid w:val="002809BB"/>
    <w:pPr>
      <w:spacing w:line="240" w:lineRule="auto"/>
      <w:ind w:left="-117"/>
      <w:jc w:val="right"/>
    </w:pPr>
    <w:rPr>
      <w:rFonts w:ascii="Times New Roman" w:eastAsia="MS Mincho" w:hAnsi="Times New Roman"/>
      <w:b/>
      <w:color w:val="FFFFFF"/>
      <w:sz w:val="26"/>
      <w:szCs w:val="22"/>
      <w:lang w:eastAsia="ja-JP"/>
    </w:rPr>
  </w:style>
  <w:style w:type="paragraph" w:customStyle="1" w:styleId="Stilenewst13NonGrassetto">
    <w:name w:val="Stile news_t13 + Non Grassetto"/>
    <w:basedOn w:val="newst13"/>
    <w:autoRedefine/>
    <w:semiHidden/>
    <w:rsid w:val="002809BB"/>
  </w:style>
  <w:style w:type="paragraph" w:customStyle="1" w:styleId="Stilenewst14NonGrassetto">
    <w:name w:val="Stile news_t14 + Non Grassetto"/>
    <w:basedOn w:val="newst14"/>
    <w:autoRedefine/>
    <w:semiHidden/>
    <w:rsid w:val="002809BB"/>
  </w:style>
  <w:style w:type="paragraph" w:customStyle="1" w:styleId="Stilenewst15NonGrassetto">
    <w:name w:val="Stile news_t15 + Non Grassetto"/>
    <w:basedOn w:val="newst15"/>
    <w:autoRedefine/>
    <w:semiHidden/>
    <w:rsid w:val="002809BB"/>
  </w:style>
  <w:style w:type="paragraph" w:customStyle="1" w:styleId="Stilenewst16NonGrassetto">
    <w:name w:val="Stile news_t16 + Non Grassetto"/>
    <w:basedOn w:val="newst16"/>
    <w:autoRedefine/>
    <w:semiHidden/>
    <w:rsid w:val="002809BB"/>
  </w:style>
  <w:style w:type="paragraph" w:customStyle="1" w:styleId="Stilenewst17NonGrassetto">
    <w:name w:val="Stile news_t17 + Non Grassetto"/>
    <w:basedOn w:val="newst17"/>
    <w:autoRedefine/>
    <w:semiHidden/>
    <w:rsid w:val="002809BB"/>
  </w:style>
  <w:style w:type="paragraph" w:customStyle="1" w:styleId="Stilenewst18NonGrassetto">
    <w:name w:val="Stile news_t18 + Non Grassetto"/>
    <w:basedOn w:val="newst18"/>
    <w:autoRedefine/>
    <w:semiHidden/>
    <w:rsid w:val="002809BB"/>
  </w:style>
  <w:style w:type="paragraph" w:customStyle="1" w:styleId="newst19">
    <w:name w:val="news_t19"/>
    <w:basedOn w:val="Normale"/>
    <w:next w:val="Normale"/>
    <w:semiHidden/>
    <w:rsid w:val="002809BB"/>
    <w:pPr>
      <w:spacing w:line="240" w:lineRule="auto"/>
      <w:ind w:left="-117"/>
      <w:jc w:val="right"/>
    </w:pPr>
    <w:rPr>
      <w:rFonts w:ascii="Times New Roman" w:eastAsia="MS Mincho" w:hAnsi="Times New Roman"/>
      <w:b/>
      <w:color w:val="FFFFFF"/>
      <w:sz w:val="26"/>
      <w:szCs w:val="22"/>
      <w:lang w:eastAsia="ja-JP"/>
    </w:rPr>
  </w:style>
  <w:style w:type="paragraph" w:customStyle="1" w:styleId="newst20">
    <w:name w:val="news_t20"/>
    <w:basedOn w:val="Normale"/>
    <w:next w:val="Normale"/>
    <w:semiHidden/>
    <w:rsid w:val="002809BB"/>
    <w:pPr>
      <w:spacing w:line="240" w:lineRule="auto"/>
      <w:ind w:left="-117"/>
      <w:jc w:val="right"/>
    </w:pPr>
    <w:rPr>
      <w:rFonts w:ascii="Times New Roman" w:eastAsia="MS Mincho" w:hAnsi="Times New Roman"/>
      <w:b/>
      <w:color w:val="FFFFFF"/>
      <w:sz w:val="26"/>
      <w:szCs w:val="22"/>
      <w:lang w:eastAsia="ja-JP"/>
    </w:rPr>
  </w:style>
  <w:style w:type="paragraph" w:customStyle="1" w:styleId="Sommario10">
    <w:name w:val="Sommario 10"/>
    <w:basedOn w:val="Sommario3"/>
    <w:rsid w:val="002809BB"/>
    <w:pPr>
      <w:numPr>
        <w:numId w:val="0"/>
      </w:numPr>
      <w:ind w:left="709" w:hanging="425"/>
    </w:pPr>
    <w:rPr>
      <w:rFonts w:eastAsia="MS Mincho"/>
      <w:lang w:eastAsia="ja-JP"/>
    </w:rPr>
  </w:style>
  <w:style w:type="paragraph" w:customStyle="1" w:styleId="provvr1">
    <w:name w:val="provv_r1"/>
    <w:basedOn w:val="Normale"/>
    <w:semiHidden/>
    <w:rsid w:val="002809BB"/>
    <w:pPr>
      <w:spacing w:before="100" w:beforeAutospacing="1" w:after="100" w:afterAutospacing="1" w:line="240" w:lineRule="auto"/>
      <w:jc w:val="left"/>
    </w:pPr>
    <w:rPr>
      <w:rFonts w:ascii="Times New Roman" w:hAnsi="Times New Roman"/>
      <w:sz w:val="24"/>
      <w:szCs w:val="24"/>
    </w:rPr>
  </w:style>
  <w:style w:type="paragraph" w:customStyle="1" w:styleId="Osservazioni">
    <w:name w:val="Osservazioni"/>
    <w:basedOn w:val="Normale"/>
    <w:qFormat/>
    <w:rsid w:val="002809BB"/>
    <w:pPr>
      <w:spacing w:line="240" w:lineRule="auto"/>
    </w:pPr>
    <w:rPr>
      <w:rFonts w:ascii="Times New Roman" w:hAnsi="Times New Roman"/>
      <w:i/>
      <w:sz w:val="26"/>
    </w:rPr>
  </w:style>
  <w:style w:type="character" w:customStyle="1" w:styleId="descr">
    <w:name w:val="descr"/>
    <w:semiHidden/>
    <w:rsid w:val="002809BB"/>
  </w:style>
  <w:style w:type="character" w:customStyle="1" w:styleId="ParagrafoelencoCarattere">
    <w:name w:val="Paragrafo elenco Carattere"/>
    <w:aliases w:val="Punto elenco 1 Carattere,Lapis Bulleted List Carattere,List Paragraph (numbered (a)) Carattere,List Paragraph12 Carattere,CV text Carattere,Bullets Carattere,3 Carattere,titulo 3 Carattere,Párrafo de lista1 Carattere"/>
    <w:basedOn w:val="Carpredefinitoparagrafo"/>
    <w:link w:val="Paragrafoelenco"/>
    <w:uiPriority w:val="34"/>
    <w:qFormat/>
    <w:locked/>
    <w:rsid w:val="002809BB"/>
    <w:rPr>
      <w:rFonts w:ascii="Arial" w:eastAsia="Times New Roman" w:hAnsi="Arial" w:cs="Times New Roman"/>
      <w:szCs w:val="20"/>
      <w:lang w:eastAsia="it-IT"/>
    </w:rPr>
  </w:style>
  <w:style w:type="character" w:customStyle="1" w:styleId="testo">
    <w:name w:val="testo"/>
    <w:basedOn w:val="Carpredefinitoparagrafo"/>
    <w:semiHidden/>
    <w:rsid w:val="002809BB"/>
  </w:style>
  <w:style w:type="character" w:customStyle="1" w:styleId="object">
    <w:name w:val="object"/>
    <w:basedOn w:val="Carpredefinitoparagrafo"/>
    <w:semiHidden/>
    <w:rsid w:val="002809BB"/>
  </w:style>
  <w:style w:type="table" w:styleId="Tabellaclassica1">
    <w:name w:val="Table Classic 1"/>
    <w:basedOn w:val="Tabellanormale"/>
    <w:rsid w:val="002809BB"/>
    <w:pPr>
      <w:spacing w:after="0" w:line="240" w:lineRule="auto"/>
      <w:ind w:firstLine="284"/>
      <w:jc w:val="both"/>
    </w:pPr>
    <w:rPr>
      <w:rFonts w:ascii="Times New Roman" w:eastAsia="Times New Roman" w:hAnsi="Times New Roman" w:cs="Times New Roman"/>
      <w:sz w:val="20"/>
      <w:szCs w:val="20"/>
      <w:lang w:eastAsia="it-IT"/>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eGrafunitdimisura">
    <w:name w:val="Tab. e Graf. (unità di misura)"/>
    <w:basedOn w:val="Normale"/>
    <w:next w:val="TabeGrafFonteeNote"/>
    <w:uiPriority w:val="19"/>
    <w:qFormat/>
    <w:rsid w:val="002809BB"/>
    <w:pPr>
      <w:keepNext/>
      <w:keepLines/>
      <w:tabs>
        <w:tab w:val="left" w:pos="284"/>
      </w:tabs>
      <w:suppressAutoHyphens/>
      <w:spacing w:line="240" w:lineRule="auto"/>
      <w:ind w:firstLine="0"/>
      <w:jc w:val="right"/>
    </w:pPr>
    <w:rPr>
      <w:rFonts w:ascii="Times New Roman" w:eastAsiaTheme="minorHAnsi" w:hAnsi="Times New Roman" w:cstheme="minorBidi"/>
      <w:i/>
      <w:sz w:val="20"/>
      <w:lang w:eastAsia="en-US"/>
    </w:rPr>
  </w:style>
  <w:style w:type="paragraph" w:customStyle="1" w:styleId="TabeGrafFonteeNote">
    <w:name w:val="Tab. e Graf. Fonte e Note"/>
    <w:basedOn w:val="Normale"/>
    <w:uiPriority w:val="20"/>
    <w:qFormat/>
    <w:rsid w:val="002809BB"/>
    <w:pPr>
      <w:keepLines/>
      <w:tabs>
        <w:tab w:val="left" w:pos="284"/>
      </w:tabs>
      <w:spacing w:before="40" w:after="360" w:line="240" w:lineRule="auto"/>
      <w:ind w:firstLine="0"/>
      <w:contextualSpacing/>
    </w:pPr>
    <w:rPr>
      <w:rFonts w:ascii="Times New Roman" w:eastAsiaTheme="minorHAnsi" w:hAnsi="Times New Roman" w:cstheme="minorBidi"/>
      <w:sz w:val="18"/>
      <w:szCs w:val="18"/>
      <w:lang w:eastAsia="en-US"/>
    </w:rPr>
  </w:style>
  <w:style w:type="paragraph" w:styleId="Didascalia">
    <w:name w:val="caption"/>
    <w:basedOn w:val="Normale"/>
    <w:next w:val="Normale"/>
    <w:uiPriority w:val="35"/>
    <w:unhideWhenUsed/>
    <w:qFormat/>
    <w:rsid w:val="002809BB"/>
    <w:pPr>
      <w:keepNext/>
      <w:spacing w:before="300" w:line="240" w:lineRule="auto"/>
      <w:ind w:firstLine="0"/>
    </w:pPr>
    <w:rPr>
      <w:rFonts w:ascii="Times New Roman" w:eastAsiaTheme="minorHAnsi" w:hAnsi="Times New Roman" w:cstheme="minorBidi"/>
      <w:b/>
      <w:bCs/>
      <w:szCs w:val="18"/>
      <w:lang w:eastAsia="en-US"/>
    </w:rPr>
  </w:style>
  <w:style w:type="paragraph" w:customStyle="1" w:styleId="Testo0">
    <w:name w:val="Testo"/>
    <w:link w:val="TestoCarattere"/>
    <w:rsid w:val="002809BB"/>
    <w:pPr>
      <w:tabs>
        <w:tab w:val="left" w:pos="284"/>
      </w:tabs>
      <w:spacing w:after="0" w:line="240" w:lineRule="auto"/>
      <w:ind w:firstLine="284"/>
      <w:jc w:val="both"/>
    </w:pPr>
    <w:rPr>
      <w:rFonts w:ascii="Times New Roman" w:hAnsi="Times New Roman"/>
      <w:sz w:val="26"/>
      <w:szCs w:val="26"/>
    </w:rPr>
  </w:style>
  <w:style w:type="character" w:customStyle="1" w:styleId="TestoCarattere">
    <w:name w:val="Testo Carattere"/>
    <w:basedOn w:val="Carpredefinitoparagrafo"/>
    <w:link w:val="Testo0"/>
    <w:rsid w:val="002809BB"/>
    <w:rPr>
      <w:rFonts w:ascii="Times New Roman" w:hAnsi="Times New Roman"/>
      <w:sz w:val="26"/>
      <w:szCs w:val="26"/>
    </w:rPr>
  </w:style>
  <w:style w:type="character" w:customStyle="1" w:styleId="RicostruzioneCarattere">
    <w:name w:val="Ricostruzione Carattere"/>
    <w:basedOn w:val="RidottoCarattere"/>
    <w:link w:val="Ricostruzione"/>
    <w:rsid w:val="002809BB"/>
    <w:rPr>
      <w:rFonts w:ascii="Times New Roman" w:eastAsia="Times New Roman" w:hAnsi="Times New Roman" w:cs="Times New Roman"/>
      <w:sz w:val="24"/>
      <w:szCs w:val="20"/>
      <w:lang w:eastAsia="it-IT"/>
    </w:rPr>
  </w:style>
  <w:style w:type="character" w:customStyle="1" w:styleId="A-SintesiCarattere">
    <w:name w:val="A-Sintesi Carattere"/>
    <w:basedOn w:val="Carpredefinitoparagrafo"/>
    <w:link w:val="A-Sintesi"/>
    <w:rsid w:val="002809BB"/>
    <w:rPr>
      <w:rFonts w:ascii="Times New Roman" w:eastAsia="Times New Roman" w:hAnsi="Times New Roman" w:cs="Times New Roman"/>
      <w:sz w:val="26"/>
      <w:szCs w:val="20"/>
      <w:lang w:eastAsia="it-IT"/>
    </w:rPr>
  </w:style>
  <w:style w:type="paragraph" w:customStyle="1" w:styleId="Boxtesto">
    <w:name w:val="Box testo"/>
    <w:basedOn w:val="Normale"/>
    <w:link w:val="BoxtestoCarattere"/>
    <w:qFormat/>
    <w:rsid w:val="002809BB"/>
    <w:pPr>
      <w:shd w:val="clear" w:color="auto" w:fill="E9F1F3"/>
      <w:spacing w:line="240" w:lineRule="auto"/>
    </w:pPr>
    <w:rPr>
      <w:rFonts w:ascii="Times New Roman" w:hAnsi="Times New Roman"/>
      <w:sz w:val="24"/>
      <w:szCs w:val="24"/>
    </w:rPr>
  </w:style>
  <w:style w:type="character" w:customStyle="1" w:styleId="BoxtestoCarattere">
    <w:name w:val="Box testo Carattere"/>
    <w:basedOn w:val="Carpredefinitoparagrafo"/>
    <w:link w:val="Boxtesto"/>
    <w:rsid w:val="002809BB"/>
    <w:rPr>
      <w:rFonts w:ascii="Times New Roman" w:eastAsia="Times New Roman" w:hAnsi="Times New Roman" w:cs="Times New Roman"/>
      <w:sz w:val="24"/>
      <w:szCs w:val="24"/>
      <w:shd w:val="clear" w:color="auto" w:fill="E9F1F3"/>
      <w:lang w:eastAsia="it-IT"/>
    </w:rPr>
  </w:style>
  <w:style w:type="character" w:customStyle="1" w:styleId="TestonotaapidipaginaCarattere1">
    <w:name w:val="Testo nota a piè di pagina Carattere1"/>
    <w:basedOn w:val="Carpredefinitoparagrafo"/>
    <w:rsid w:val="002809BB"/>
  </w:style>
  <w:style w:type="paragraph" w:customStyle="1" w:styleId="Puntoelenco1">
    <w:name w:val="Punto elenco 1°"/>
    <w:basedOn w:val="Normale"/>
    <w:link w:val="Puntoelenco1Carattere"/>
    <w:qFormat/>
    <w:rsid w:val="002809BB"/>
    <w:pPr>
      <w:numPr>
        <w:numId w:val="13"/>
      </w:numPr>
      <w:spacing w:before="40" w:line="240" w:lineRule="auto"/>
      <w:ind w:left="284" w:hanging="284"/>
    </w:pPr>
    <w:rPr>
      <w:rFonts w:ascii="Times New Roman" w:hAnsi="Times New Roman"/>
      <w:sz w:val="26"/>
    </w:rPr>
  </w:style>
  <w:style w:type="paragraph" w:customStyle="1" w:styleId="Puntoelenco2">
    <w:name w:val="Punto elenco 2°"/>
    <w:basedOn w:val="Normale"/>
    <w:link w:val="Puntoelenco2Carattere"/>
    <w:qFormat/>
    <w:rsid w:val="002809BB"/>
    <w:pPr>
      <w:numPr>
        <w:numId w:val="12"/>
      </w:numPr>
      <w:tabs>
        <w:tab w:val="left" w:pos="284"/>
      </w:tabs>
      <w:spacing w:before="40" w:line="240" w:lineRule="auto"/>
      <w:ind w:left="568" w:hanging="284"/>
    </w:pPr>
    <w:rPr>
      <w:rFonts w:ascii="Times New Roman" w:hAnsi="Times New Roman"/>
      <w:sz w:val="26"/>
    </w:rPr>
  </w:style>
  <w:style w:type="character" w:customStyle="1" w:styleId="Puntoelenco1Carattere">
    <w:name w:val="Punto elenco 1° Carattere"/>
    <w:basedOn w:val="Carpredefinitoparagrafo"/>
    <w:link w:val="Puntoelenco1"/>
    <w:rsid w:val="002809BB"/>
    <w:rPr>
      <w:rFonts w:ascii="Times New Roman" w:eastAsia="Times New Roman" w:hAnsi="Times New Roman" w:cs="Times New Roman"/>
      <w:sz w:val="26"/>
      <w:szCs w:val="20"/>
      <w:lang w:eastAsia="it-IT"/>
    </w:rPr>
  </w:style>
  <w:style w:type="character" w:customStyle="1" w:styleId="Puntoelenco2Carattere">
    <w:name w:val="Punto elenco 2° Carattere"/>
    <w:basedOn w:val="Carpredefinitoparagrafo"/>
    <w:link w:val="Puntoelenco2"/>
    <w:rsid w:val="002809BB"/>
    <w:rPr>
      <w:rFonts w:ascii="Times New Roman" w:eastAsia="Times New Roman" w:hAnsi="Times New Roman" w:cs="Times New Roman"/>
      <w:sz w:val="26"/>
      <w:szCs w:val="20"/>
      <w:lang w:eastAsia="it-IT"/>
    </w:rPr>
  </w:style>
  <w:style w:type="character" w:customStyle="1" w:styleId="Menzionenonrisolta1">
    <w:name w:val="Menzione non risolta1"/>
    <w:basedOn w:val="Carpredefinitoparagrafo"/>
    <w:uiPriority w:val="99"/>
    <w:semiHidden/>
    <w:unhideWhenUsed/>
    <w:rsid w:val="002809BB"/>
    <w:rPr>
      <w:color w:val="605E5C"/>
      <w:shd w:val="clear" w:color="auto" w:fill="E1DFDD"/>
    </w:rPr>
  </w:style>
  <w:style w:type="character" w:styleId="Rimandocommento">
    <w:name w:val="annotation reference"/>
    <w:basedOn w:val="Carpredefinitoparagrafo"/>
    <w:uiPriority w:val="99"/>
    <w:semiHidden/>
    <w:unhideWhenUsed/>
    <w:rsid w:val="00E57D52"/>
    <w:rPr>
      <w:sz w:val="16"/>
      <w:szCs w:val="16"/>
    </w:rPr>
  </w:style>
  <w:style w:type="paragraph" w:styleId="Testocommento">
    <w:name w:val="annotation text"/>
    <w:basedOn w:val="Normale"/>
    <w:link w:val="TestocommentoCarattere"/>
    <w:uiPriority w:val="99"/>
    <w:semiHidden/>
    <w:unhideWhenUsed/>
    <w:rsid w:val="00E57D52"/>
    <w:pPr>
      <w:spacing w:line="240" w:lineRule="auto"/>
    </w:pPr>
    <w:rPr>
      <w:sz w:val="20"/>
    </w:rPr>
  </w:style>
  <w:style w:type="character" w:customStyle="1" w:styleId="TestocommentoCarattere">
    <w:name w:val="Testo commento Carattere"/>
    <w:basedOn w:val="Carpredefinitoparagrafo"/>
    <w:link w:val="Testocommento"/>
    <w:uiPriority w:val="99"/>
    <w:semiHidden/>
    <w:rsid w:val="00E57D52"/>
    <w:rPr>
      <w:rFonts w:ascii="Arial" w:eastAsia="Times New Roman" w:hAnsi="Arial"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E57D52"/>
    <w:rPr>
      <w:b/>
      <w:bCs/>
    </w:rPr>
  </w:style>
  <w:style w:type="character" w:customStyle="1" w:styleId="SoggettocommentoCarattere">
    <w:name w:val="Soggetto commento Carattere"/>
    <w:basedOn w:val="TestocommentoCarattere"/>
    <w:link w:val="Soggettocommento"/>
    <w:uiPriority w:val="99"/>
    <w:semiHidden/>
    <w:rsid w:val="00E57D52"/>
    <w:rPr>
      <w:rFonts w:ascii="Arial" w:eastAsia="Times New Roman" w:hAnsi="Arial" w:cs="Times New Roman"/>
      <w:b/>
      <w:bCs/>
      <w:sz w:val="20"/>
      <w:szCs w:val="20"/>
      <w:lang w:eastAsia="it-IT"/>
    </w:rPr>
  </w:style>
  <w:style w:type="paragraph" w:styleId="Titolosommario">
    <w:name w:val="TOC Heading"/>
    <w:basedOn w:val="Titolo1"/>
    <w:next w:val="Normale"/>
    <w:uiPriority w:val="39"/>
    <w:unhideWhenUsed/>
    <w:qFormat/>
    <w:rsid w:val="009A4070"/>
    <w:pPr>
      <w:keepLines/>
      <w:spacing w:after="0" w:line="259" w:lineRule="auto"/>
      <w:jc w:val="left"/>
      <w:outlineLvl w:val="9"/>
    </w:pPr>
    <w:rPr>
      <w:rFonts w:asciiTheme="majorHAnsi" w:hAnsiTheme="majorHAnsi"/>
      <w:b w:val="0"/>
      <w:bCs w:val="0"/>
      <w:color w:val="2E74B5" w:themeColor="accent1" w:themeShade="BF"/>
      <w:kern w:val="0"/>
      <w:sz w:val="32"/>
    </w:rPr>
  </w:style>
  <w:style w:type="numbering" w:customStyle="1" w:styleId="Stileimportato6">
    <w:name w:val="Stile importato 6"/>
    <w:rsid w:val="009815B5"/>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618436">
      <w:bodyDiv w:val="1"/>
      <w:marLeft w:val="0"/>
      <w:marRight w:val="0"/>
      <w:marTop w:val="0"/>
      <w:marBottom w:val="0"/>
      <w:divBdr>
        <w:top w:val="none" w:sz="0" w:space="0" w:color="auto"/>
        <w:left w:val="none" w:sz="0" w:space="0" w:color="auto"/>
        <w:bottom w:val="none" w:sz="0" w:space="0" w:color="auto"/>
        <w:right w:val="none" w:sz="0" w:space="0" w:color="auto"/>
      </w:divBdr>
    </w:div>
    <w:div w:id="582877662">
      <w:bodyDiv w:val="1"/>
      <w:marLeft w:val="0"/>
      <w:marRight w:val="0"/>
      <w:marTop w:val="0"/>
      <w:marBottom w:val="0"/>
      <w:divBdr>
        <w:top w:val="none" w:sz="0" w:space="0" w:color="auto"/>
        <w:left w:val="none" w:sz="0" w:space="0" w:color="auto"/>
        <w:bottom w:val="none" w:sz="0" w:space="0" w:color="auto"/>
        <w:right w:val="none" w:sz="0" w:space="0" w:color="auto"/>
      </w:divBdr>
      <w:divsChild>
        <w:div w:id="1061364935">
          <w:marLeft w:val="0"/>
          <w:marRight w:val="0"/>
          <w:marTop w:val="0"/>
          <w:marBottom w:val="0"/>
          <w:divBdr>
            <w:top w:val="none" w:sz="0" w:space="0" w:color="auto"/>
            <w:left w:val="none" w:sz="0" w:space="0" w:color="auto"/>
            <w:bottom w:val="none" w:sz="0" w:space="0" w:color="auto"/>
            <w:right w:val="none" w:sz="0" w:space="0" w:color="auto"/>
          </w:divBdr>
        </w:div>
        <w:div w:id="2013599807">
          <w:marLeft w:val="0"/>
          <w:marRight w:val="0"/>
          <w:marTop w:val="0"/>
          <w:marBottom w:val="0"/>
          <w:divBdr>
            <w:top w:val="none" w:sz="0" w:space="0" w:color="auto"/>
            <w:left w:val="none" w:sz="0" w:space="0" w:color="auto"/>
            <w:bottom w:val="none" w:sz="0" w:space="0" w:color="auto"/>
            <w:right w:val="none" w:sz="0" w:space="0" w:color="auto"/>
          </w:divBdr>
        </w:div>
        <w:div w:id="661658629">
          <w:marLeft w:val="0"/>
          <w:marRight w:val="0"/>
          <w:marTop w:val="0"/>
          <w:marBottom w:val="0"/>
          <w:divBdr>
            <w:top w:val="none" w:sz="0" w:space="0" w:color="auto"/>
            <w:left w:val="none" w:sz="0" w:space="0" w:color="auto"/>
            <w:bottom w:val="none" w:sz="0" w:space="0" w:color="auto"/>
            <w:right w:val="none" w:sz="0" w:space="0" w:color="auto"/>
          </w:divBdr>
        </w:div>
        <w:div w:id="36197915">
          <w:marLeft w:val="0"/>
          <w:marRight w:val="0"/>
          <w:marTop w:val="0"/>
          <w:marBottom w:val="0"/>
          <w:divBdr>
            <w:top w:val="none" w:sz="0" w:space="0" w:color="auto"/>
            <w:left w:val="none" w:sz="0" w:space="0" w:color="auto"/>
            <w:bottom w:val="none" w:sz="0" w:space="0" w:color="auto"/>
            <w:right w:val="none" w:sz="0" w:space="0" w:color="auto"/>
          </w:divBdr>
        </w:div>
        <w:div w:id="1563176823">
          <w:marLeft w:val="0"/>
          <w:marRight w:val="0"/>
          <w:marTop w:val="0"/>
          <w:marBottom w:val="0"/>
          <w:divBdr>
            <w:top w:val="none" w:sz="0" w:space="0" w:color="auto"/>
            <w:left w:val="none" w:sz="0" w:space="0" w:color="auto"/>
            <w:bottom w:val="none" w:sz="0" w:space="0" w:color="auto"/>
            <w:right w:val="none" w:sz="0" w:space="0" w:color="auto"/>
          </w:divBdr>
        </w:div>
        <w:div w:id="1975717650">
          <w:marLeft w:val="0"/>
          <w:marRight w:val="0"/>
          <w:marTop w:val="0"/>
          <w:marBottom w:val="0"/>
          <w:divBdr>
            <w:top w:val="none" w:sz="0" w:space="0" w:color="auto"/>
            <w:left w:val="none" w:sz="0" w:space="0" w:color="auto"/>
            <w:bottom w:val="none" w:sz="0" w:space="0" w:color="auto"/>
            <w:right w:val="none" w:sz="0" w:space="0" w:color="auto"/>
          </w:divBdr>
        </w:div>
        <w:div w:id="1109395895">
          <w:marLeft w:val="0"/>
          <w:marRight w:val="0"/>
          <w:marTop w:val="0"/>
          <w:marBottom w:val="0"/>
          <w:divBdr>
            <w:top w:val="none" w:sz="0" w:space="0" w:color="auto"/>
            <w:left w:val="none" w:sz="0" w:space="0" w:color="auto"/>
            <w:bottom w:val="none" w:sz="0" w:space="0" w:color="auto"/>
            <w:right w:val="none" w:sz="0" w:space="0" w:color="auto"/>
          </w:divBdr>
        </w:div>
        <w:div w:id="930237750">
          <w:marLeft w:val="0"/>
          <w:marRight w:val="0"/>
          <w:marTop w:val="0"/>
          <w:marBottom w:val="0"/>
          <w:divBdr>
            <w:top w:val="none" w:sz="0" w:space="0" w:color="auto"/>
            <w:left w:val="none" w:sz="0" w:space="0" w:color="auto"/>
            <w:bottom w:val="none" w:sz="0" w:space="0" w:color="auto"/>
            <w:right w:val="none" w:sz="0" w:space="0" w:color="auto"/>
          </w:divBdr>
        </w:div>
      </w:divsChild>
    </w:div>
    <w:div w:id="606621009">
      <w:bodyDiv w:val="1"/>
      <w:marLeft w:val="0"/>
      <w:marRight w:val="0"/>
      <w:marTop w:val="0"/>
      <w:marBottom w:val="0"/>
      <w:divBdr>
        <w:top w:val="none" w:sz="0" w:space="0" w:color="auto"/>
        <w:left w:val="none" w:sz="0" w:space="0" w:color="auto"/>
        <w:bottom w:val="none" w:sz="0" w:space="0" w:color="auto"/>
        <w:right w:val="none" w:sz="0" w:space="0" w:color="auto"/>
      </w:divBdr>
      <w:divsChild>
        <w:div w:id="383792536">
          <w:marLeft w:val="0"/>
          <w:marRight w:val="0"/>
          <w:marTop w:val="0"/>
          <w:marBottom w:val="0"/>
          <w:divBdr>
            <w:top w:val="none" w:sz="0" w:space="0" w:color="auto"/>
            <w:left w:val="none" w:sz="0" w:space="0" w:color="auto"/>
            <w:bottom w:val="none" w:sz="0" w:space="0" w:color="auto"/>
            <w:right w:val="none" w:sz="0" w:space="0" w:color="auto"/>
          </w:divBdr>
          <w:divsChild>
            <w:div w:id="1822308637">
              <w:marLeft w:val="0"/>
              <w:marRight w:val="0"/>
              <w:marTop w:val="0"/>
              <w:marBottom w:val="0"/>
              <w:divBdr>
                <w:top w:val="none" w:sz="0" w:space="0" w:color="auto"/>
                <w:left w:val="none" w:sz="0" w:space="0" w:color="auto"/>
                <w:bottom w:val="none" w:sz="0" w:space="0" w:color="auto"/>
                <w:right w:val="none" w:sz="0" w:space="0" w:color="auto"/>
              </w:divBdr>
              <w:divsChild>
                <w:div w:id="1181121607">
                  <w:marLeft w:val="0"/>
                  <w:marRight w:val="0"/>
                  <w:marTop w:val="0"/>
                  <w:marBottom w:val="0"/>
                  <w:divBdr>
                    <w:top w:val="none" w:sz="0" w:space="0" w:color="auto"/>
                    <w:left w:val="none" w:sz="0" w:space="0" w:color="auto"/>
                    <w:bottom w:val="none" w:sz="0" w:space="0" w:color="auto"/>
                    <w:right w:val="none" w:sz="0" w:space="0" w:color="auto"/>
                  </w:divBdr>
                  <w:divsChild>
                    <w:div w:id="186722352">
                      <w:marLeft w:val="0"/>
                      <w:marRight w:val="0"/>
                      <w:marTop w:val="0"/>
                      <w:marBottom w:val="0"/>
                      <w:divBdr>
                        <w:top w:val="none" w:sz="0" w:space="0" w:color="auto"/>
                        <w:left w:val="none" w:sz="0" w:space="0" w:color="auto"/>
                        <w:bottom w:val="none" w:sz="0" w:space="0" w:color="auto"/>
                        <w:right w:val="none" w:sz="0" w:space="0" w:color="auto"/>
                      </w:divBdr>
                      <w:divsChild>
                        <w:div w:id="778984798">
                          <w:marLeft w:val="0"/>
                          <w:marRight w:val="0"/>
                          <w:marTop w:val="0"/>
                          <w:marBottom w:val="0"/>
                          <w:divBdr>
                            <w:top w:val="none" w:sz="0" w:space="0" w:color="auto"/>
                            <w:left w:val="none" w:sz="0" w:space="0" w:color="auto"/>
                            <w:bottom w:val="none" w:sz="0" w:space="0" w:color="auto"/>
                            <w:right w:val="none" w:sz="0" w:space="0" w:color="auto"/>
                          </w:divBdr>
                          <w:divsChild>
                            <w:div w:id="115981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zzettaufficiale.it/atto/serie_generale/caricaDettaglioAtto/originario?atto.dataPubblicazioneGazzetta=2024-12-31&amp;atto.codiceRedazionale=24G00229&amp;elenco30giorni=true" TargetMode="External"/><Relationship Id="rId13" Type="http://schemas.openxmlformats.org/officeDocument/2006/relationships/hyperlink" Target="https://eur-lex.europa.eu/legal-content/IT/TXT/HTML/?uri=OJ:L_202401275" TargetMode="External"/><Relationship Id="rId18" Type="http://schemas.openxmlformats.org/officeDocument/2006/relationships/hyperlink" Target="https://temi.camera.it/leg19/post/OCD15_15124/l-aggiornamento-del-pniec-1.htm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jpeg"/><Relationship Id="rId7" Type="http://schemas.openxmlformats.org/officeDocument/2006/relationships/endnotes" Target="endnotes.xml"/><Relationship Id="rId12" Type="http://schemas.openxmlformats.org/officeDocument/2006/relationships/hyperlink" Target="https://eur-lex.europa.eu/legal-content/IT/TXT/?uri=CELEX:32023L1791" TargetMode="External"/><Relationship Id="rId17" Type="http://schemas.openxmlformats.org/officeDocument/2006/relationships/hyperlink" Target="https://data.consilium.europa.eu/doc/document/ST-14286-2023-INIT/it/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efficienzaenergetica.enea.it/component/jdownloads/?task=download.send&amp;id=650&amp;catid=9&amp;Itemid=101" TargetMode="External"/><Relationship Id="rId20" Type="http://schemas.openxmlformats.org/officeDocument/2006/relationships/hyperlink" Target="https://www.mase.gov.it/sites/default/files/PNIEC_2024_revfin_01072024%20errata%20corrige%20pulito.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lex.europa.eu/legal-content/IT/TXT/HTML/?uri=CELEX:32018R1999&amp;from=EN"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eur-lex.europa.eu/legal-content/IT/TXT/?uri=CELEX:32023L1791" TargetMode="External"/><Relationship Id="rId23" Type="http://schemas.openxmlformats.org/officeDocument/2006/relationships/hyperlink" Target="https://www.efficienzaenergetica.enea.it/servizi-per/pubblica-amministrazione/contratto-di-prestazione-energetica-epc.html" TargetMode="External"/><Relationship Id="rId10" Type="http://schemas.openxmlformats.org/officeDocument/2006/relationships/hyperlink" Target="http://www.normattiva.it/uri-res/N2Ls?urn:nir:stato:decreto.legislativo:2020;48" TargetMode="External"/><Relationship Id="rId19" Type="http://schemas.openxmlformats.org/officeDocument/2006/relationships/hyperlink" Target="https://temi.camera.it/leg19/post/OCD15_15124/l-aggiornamento-del-pniec-1.html" TargetMode="External"/><Relationship Id="rId4" Type="http://schemas.openxmlformats.org/officeDocument/2006/relationships/settings" Target="settings.xml"/><Relationship Id="rId9" Type="http://schemas.openxmlformats.org/officeDocument/2006/relationships/hyperlink" Target="https://www.gazzettaufficiale.it/atto/serie_generale/caricaDettaglioAtto/originario?atto.dataPubblicazioneGazzetta=2020-07-14&amp;atto.codiceRedazionale=20G00093" TargetMode="External"/><Relationship Id="rId14" Type="http://schemas.openxmlformats.org/officeDocument/2006/relationships/hyperlink" Target="https://eur-lex.europa.eu/legal-content/IT/TXT/HTML/?uri=OJ:L_202401275" TargetMode="External"/><Relationship Id="rId22" Type="http://schemas.openxmlformats.org/officeDocument/2006/relationships/image" Target="media/image2.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EB5D58-D866-4971-94D8-FB3CDD978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51</Pages>
  <Words>25873</Words>
  <Characters>147480</Characters>
  <Application>Microsoft Office Word</Application>
  <DocSecurity>0</DocSecurity>
  <Lines>1229</Lines>
  <Paragraphs>346</Paragraphs>
  <ScaleCrop>false</ScaleCrop>
  <HeadingPairs>
    <vt:vector size="2" baseType="variant">
      <vt:variant>
        <vt:lpstr>Titolo</vt:lpstr>
      </vt:variant>
      <vt:variant>
        <vt:i4>1</vt:i4>
      </vt:variant>
    </vt:vector>
  </HeadingPairs>
  <TitlesOfParts>
    <vt:vector size="1" baseType="lpstr">
      <vt:lpstr/>
    </vt:vector>
  </TitlesOfParts>
  <Company>Cdd</Company>
  <LinksUpToDate>false</LinksUpToDate>
  <CharactersWithSpaces>173007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Cdd</dc:creator>
  <cp:lastModifiedBy>Giorgio Santilli</cp:lastModifiedBy>
  <cp:revision>2</cp:revision>
  <cp:lastPrinted>2025-03-14T14:51:00Z</cp:lastPrinted>
  <dcterms:created xsi:type="dcterms:W3CDTF">2025-03-19T22:23:00Z</dcterms:created>
  <dcterms:modified xsi:type="dcterms:W3CDTF">2025-03-19T22:23:00Z</dcterms:modified>
</cp:coreProperties>
</file>