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53CE" w14:textId="67C80256" w:rsidR="0066218D" w:rsidRPr="0066218D" w:rsidRDefault="00345F85">
      <w:pPr>
        <w:rPr>
          <w:i/>
          <w:iCs/>
        </w:rPr>
      </w:pPr>
      <w:r w:rsidRPr="0066218D">
        <w:rPr>
          <w:i/>
          <w:iCs/>
        </w:rPr>
        <w:t xml:space="preserve">Per chi non lo ricordasse o non lo avesse mai letto, è bene riproporre il contenuto del traguardo </w:t>
      </w:r>
      <w:r w:rsidR="0099324A" w:rsidRPr="0066218D">
        <w:rPr>
          <w:i/>
          <w:iCs/>
        </w:rPr>
        <w:t>M1C2-11</w:t>
      </w:r>
      <w:r w:rsidRPr="0066218D">
        <w:rPr>
          <w:i/>
          <w:iCs/>
        </w:rPr>
        <w:t>, che prevede entro T4 2024 l’entrata in vigore della legge sulla concorrenza</w:t>
      </w:r>
      <w:r w:rsidR="0066218D" w:rsidRPr="0066218D">
        <w:rPr>
          <w:i/>
          <w:iCs/>
        </w:rPr>
        <w:t>. In particolare, i</w:t>
      </w:r>
      <w:r w:rsidRPr="0066218D">
        <w:rPr>
          <w:i/>
          <w:iCs/>
        </w:rPr>
        <w:t>l primo punto</w:t>
      </w:r>
      <w:r w:rsidR="0066218D" w:rsidRPr="0066218D">
        <w:rPr>
          <w:i/>
          <w:iCs/>
        </w:rPr>
        <w:t>, intitolato “</w:t>
      </w:r>
      <w:r w:rsidRPr="0066218D">
        <w:rPr>
          <w:i/>
          <w:iCs/>
        </w:rPr>
        <w:t>rete stradale</w:t>
      </w:r>
      <w:r w:rsidR="0066218D" w:rsidRPr="0066218D">
        <w:rPr>
          <w:i/>
          <w:iCs/>
        </w:rPr>
        <w:t xml:space="preserve">”, è dedicato interamente </w:t>
      </w:r>
      <w:r w:rsidRPr="0066218D">
        <w:rPr>
          <w:i/>
          <w:iCs/>
        </w:rPr>
        <w:t>alla riforma delle concessioni autostradali</w:t>
      </w:r>
      <w:r w:rsidR="00B2473D">
        <w:rPr>
          <w:i/>
          <w:iCs/>
        </w:rPr>
        <w:t xml:space="preserve"> e dovrebbe essere la bussola europea per la riforma proposta dal ministro delle Infrastrutture e dei Trasporti, Matteo Salvini, e approvata dal Consiglio dei ministri del 26 luglio 2024.</w:t>
      </w:r>
      <w:r w:rsidRPr="0066218D">
        <w:rPr>
          <w:i/>
          <w:iCs/>
        </w:rPr>
        <w:t xml:space="preserve"> </w:t>
      </w:r>
    </w:p>
    <w:p w14:paraId="50C1BB64" w14:textId="285E8830" w:rsidR="00345F85" w:rsidRPr="0066218D" w:rsidRDefault="00345F85">
      <w:pPr>
        <w:rPr>
          <w:i/>
          <w:iCs/>
        </w:rPr>
      </w:pPr>
      <w:r w:rsidRPr="0066218D">
        <w:rPr>
          <w:i/>
          <w:iCs/>
        </w:rPr>
        <w:t>Il contenuto della M1C2-11 è tratto dall’Allegato alla decisione esecutiva dell’Ecofin dell’8 dicembre 2023 che ha dato il via libera alla revisione del Pnrr italiano.</w:t>
      </w:r>
    </w:p>
    <w:p w14:paraId="0B274866" w14:textId="6C1C606D" w:rsidR="00345F85" w:rsidRDefault="00345F85">
      <w:pPr>
        <w:rPr>
          <w:i/>
          <w:iCs/>
        </w:rPr>
      </w:pPr>
      <w:r w:rsidRPr="0066218D">
        <w:rPr>
          <w:i/>
          <w:iCs/>
        </w:rPr>
        <w:t>Ecco, a seguire, il testo:</w:t>
      </w:r>
    </w:p>
    <w:p w14:paraId="45D899FE" w14:textId="77777777" w:rsidR="00B2473D" w:rsidRPr="0066218D" w:rsidRDefault="00B2473D">
      <w:pPr>
        <w:rPr>
          <w:i/>
          <w:iCs/>
        </w:rPr>
      </w:pPr>
    </w:p>
    <w:p w14:paraId="7E873A55" w14:textId="77777777" w:rsidR="0099324A" w:rsidRDefault="0099324A" w:rsidP="0099324A">
      <w:r>
        <w:t>La legge comprende almeno le seguenti misure:</w:t>
      </w:r>
    </w:p>
    <w:p w14:paraId="24D5DD65" w14:textId="77777777" w:rsidR="0099324A" w:rsidRDefault="0099324A" w:rsidP="0099324A">
      <w:r>
        <w:t>Rete stradale:</w:t>
      </w:r>
    </w:p>
    <w:p w14:paraId="14EE5986" w14:textId="56519A33" w:rsidR="0099324A" w:rsidRDefault="0099324A" w:rsidP="0099324A">
      <w:r>
        <w:t>i) riguardo all'accesso alle concessioni e alla</w:t>
      </w:r>
      <w:r>
        <w:t xml:space="preserve"> </w:t>
      </w:r>
      <w:r>
        <w:t>risoluzione del contratto, la legge annuale sulla</w:t>
      </w:r>
      <w:r>
        <w:t xml:space="preserve"> </w:t>
      </w:r>
      <w:r>
        <w:t>concorrenza deve almeno:</w:t>
      </w:r>
    </w:p>
    <w:p w14:paraId="0A2D36A3" w14:textId="3187BE46" w:rsidR="0099324A" w:rsidRDefault="0099324A" w:rsidP="0099324A">
      <w:r>
        <w:t>- rendere obbligatoria la gara d'appalto per i</w:t>
      </w:r>
      <w:r>
        <w:t xml:space="preserve"> </w:t>
      </w:r>
      <w:r>
        <w:t>contratti di concessione per le autostrade e</w:t>
      </w:r>
      <w:r>
        <w:t xml:space="preserve"> </w:t>
      </w:r>
      <w:r>
        <w:t>rafforzare l'applicabilità del quadro normativo</w:t>
      </w:r>
      <w:r>
        <w:t xml:space="preserve"> </w:t>
      </w:r>
      <w:r>
        <w:t>per il rilascio delle concessioni autostradali e</w:t>
      </w:r>
      <w:r>
        <w:t xml:space="preserve"> </w:t>
      </w:r>
      <w:r>
        <w:t>garantire livelli di servizio adeguati agli utenti</w:t>
      </w:r>
      <w:r>
        <w:t xml:space="preserve"> </w:t>
      </w:r>
      <w:r>
        <w:t>della strada, fatta salva la modalità in house entro</w:t>
      </w:r>
      <w:r>
        <w:t xml:space="preserve"> </w:t>
      </w:r>
      <w:r>
        <w:t>i limiti stabiliti dal diritto dell'UE (*);</w:t>
      </w:r>
    </w:p>
    <w:p w14:paraId="7FCE3464" w14:textId="77777777" w:rsidR="0099324A" w:rsidRDefault="0099324A" w:rsidP="0099324A">
      <w:r>
        <w:t>- migliorare l'efficienza delle procedure</w:t>
      </w:r>
      <w:r>
        <w:t xml:space="preserve"> </w:t>
      </w:r>
      <w:r>
        <w:t>amministrative decisionali relative ai contratti</w:t>
      </w:r>
      <w:r>
        <w:t xml:space="preserve"> </w:t>
      </w:r>
      <w:r>
        <w:t>di concessione;</w:t>
      </w:r>
    </w:p>
    <w:p w14:paraId="0543D06C" w14:textId="4DA988D7" w:rsidR="0099324A" w:rsidRDefault="0099324A" w:rsidP="0099324A">
      <w:r>
        <w:t>- richiedere una descrizione dettagliata e</w:t>
      </w:r>
      <w:r>
        <w:t xml:space="preserve"> </w:t>
      </w:r>
      <w:r>
        <w:t>trasparente dell'oggetto del contratto di</w:t>
      </w:r>
      <w:r>
        <w:t xml:space="preserve"> </w:t>
      </w:r>
      <w:r>
        <w:t>concessione;</w:t>
      </w:r>
    </w:p>
    <w:p w14:paraId="4E43E684" w14:textId="3BCB487E" w:rsidR="0099324A" w:rsidRDefault="0099324A" w:rsidP="0099324A">
      <w:r>
        <w:t>- imporre alle autorità concedenti di designare le</w:t>
      </w:r>
      <w:r>
        <w:t xml:space="preserve"> </w:t>
      </w:r>
      <w:r>
        <w:t>concessioni per tratte autostradali, assegnate</w:t>
      </w:r>
      <w:r>
        <w:t xml:space="preserve"> </w:t>
      </w:r>
      <w:r>
        <w:t>mediante procedura pubblica, tenendo conto</w:t>
      </w:r>
      <w:r>
        <w:t xml:space="preserve"> </w:t>
      </w:r>
      <w:r>
        <w:t>delle stime di efficienza di scala e dei costi dei</w:t>
      </w:r>
      <w:r>
        <w:t xml:space="preserve"> </w:t>
      </w:r>
      <w:r>
        <w:t>concessionari autostradali elaborate dall'Autorità</w:t>
      </w:r>
      <w:r>
        <w:t xml:space="preserve"> </w:t>
      </w:r>
      <w:r>
        <w:t>di Regolazione dei Trasporti (ART);</w:t>
      </w:r>
    </w:p>
    <w:p w14:paraId="1E37A57B" w14:textId="459FE93E" w:rsidR="0099324A" w:rsidRDefault="0099324A" w:rsidP="0099324A">
      <w:r>
        <w:t>- rafforzare i controlli del Ministero delle</w:t>
      </w:r>
      <w:r>
        <w:t xml:space="preserve"> </w:t>
      </w:r>
      <w:r>
        <w:t>Infrastrutture sui costi e sull'esecuzione delle</w:t>
      </w:r>
      <w:r>
        <w:t xml:space="preserve"> </w:t>
      </w:r>
      <w:r>
        <w:t>infrastrutture stradali;</w:t>
      </w:r>
    </w:p>
    <w:p w14:paraId="74D47ABF" w14:textId="76F2E4FD" w:rsidR="0099324A" w:rsidRDefault="0099324A" w:rsidP="0099324A">
      <w:r>
        <w:t>- impedire il rinnovo automatico dei contratti di</w:t>
      </w:r>
      <w:r>
        <w:t xml:space="preserve"> </w:t>
      </w:r>
      <w:r>
        <w:t>concessione, anche attraverso un sostanziale</w:t>
      </w:r>
      <w:r>
        <w:t xml:space="preserve"> </w:t>
      </w:r>
      <w:r>
        <w:t>miglioramento dell'efficienza gestionale di tutte le</w:t>
      </w:r>
      <w:r>
        <w:t xml:space="preserve"> </w:t>
      </w:r>
      <w:r>
        <w:t>procedure tecnico-amministrative connesse</w:t>
      </w:r>
      <w:r>
        <w:t xml:space="preserve"> </w:t>
      </w:r>
      <w:r>
        <w:t>all'aggiornamento periodico dei piani economici e</w:t>
      </w:r>
      <w:r>
        <w:t xml:space="preserve"> </w:t>
      </w:r>
      <w:r>
        <w:t>finanziari e alla loro attuazione annuale e</w:t>
      </w:r>
      <w:r>
        <w:t xml:space="preserve"> </w:t>
      </w:r>
      <w:r>
        <w:t>attraverso il divieto di utilizzare le procedure</w:t>
      </w:r>
      <w:r>
        <w:t xml:space="preserve"> </w:t>
      </w:r>
      <w:r>
        <w:t>disciplinate dall'articolo 193 del codice dei</w:t>
      </w:r>
      <w:r>
        <w:t xml:space="preserve"> </w:t>
      </w:r>
      <w:r>
        <w:t>contratti pubblici per l'aggiudicazione di contratti</w:t>
      </w:r>
      <w:r>
        <w:t xml:space="preserve"> </w:t>
      </w:r>
      <w:r>
        <w:t>di concessione autostradale scaduti o in</w:t>
      </w:r>
      <w:r>
        <w:t xml:space="preserve"> </w:t>
      </w:r>
      <w:r>
        <w:t>scadenza;</w:t>
      </w:r>
    </w:p>
    <w:p w14:paraId="48C2124F" w14:textId="4B6BA5B6" w:rsidR="0099324A" w:rsidRDefault="0099324A" w:rsidP="0099324A">
      <w:r>
        <w:t>- semplificare/chiarire la regolamentazione delle</w:t>
      </w:r>
      <w:r>
        <w:t xml:space="preserve"> </w:t>
      </w:r>
      <w:r>
        <w:t>condizioni di risoluzione e di annullamento del</w:t>
      </w:r>
      <w:r>
        <w:t xml:space="preserve"> </w:t>
      </w:r>
      <w:r>
        <w:t>contratto, anche al fine di mantenere un livello</w:t>
      </w:r>
      <w:r>
        <w:t xml:space="preserve"> </w:t>
      </w:r>
      <w:r>
        <w:t>adeguato di contendibilità delle concessioni per i</w:t>
      </w:r>
      <w:r>
        <w:t xml:space="preserve"> </w:t>
      </w:r>
      <w:r>
        <w:t>mercati interessati;</w:t>
      </w:r>
    </w:p>
    <w:p w14:paraId="44B99FBE" w14:textId="77777777" w:rsidR="004D3E44" w:rsidRDefault="0099324A" w:rsidP="0099324A">
      <w:r>
        <w:t>- attuare tempestivamente e pienamente il</w:t>
      </w:r>
      <w:r>
        <w:t xml:space="preserve"> </w:t>
      </w:r>
      <w:r>
        <w:t>modello di regolamentazione dei diritti di accesso</w:t>
      </w:r>
      <w:r>
        <w:t xml:space="preserve"> </w:t>
      </w:r>
      <w:r>
        <w:t xml:space="preserve">adottato tenendo conto: </w:t>
      </w:r>
    </w:p>
    <w:p w14:paraId="740F975D" w14:textId="2960021C" w:rsidR="0099324A" w:rsidRDefault="0099324A" w:rsidP="0099324A">
      <w:r>
        <w:t>i) degli aggiornamenti</w:t>
      </w:r>
      <w:r w:rsidR="004D3E44">
        <w:t xml:space="preserve"> </w:t>
      </w:r>
      <w:r>
        <w:t>periodici della pianificazione economica e</w:t>
      </w:r>
      <w:r w:rsidR="004D3E44">
        <w:t xml:space="preserve"> </w:t>
      </w:r>
      <w:r>
        <w:t xml:space="preserve">finanziaria pluriennale dei </w:t>
      </w:r>
      <w:r w:rsidR="004D3E44">
        <w:t>c</w:t>
      </w:r>
      <w:r>
        <w:t>oncessionari (quale</w:t>
      </w:r>
      <w:r w:rsidR="004D3E44">
        <w:t xml:space="preserve"> </w:t>
      </w:r>
      <w:r>
        <w:t>approvata dall'autorità di regolamentazione</w:t>
      </w:r>
      <w:r w:rsidR="004D3E44">
        <w:t xml:space="preserve"> </w:t>
      </w:r>
      <w:r>
        <w:t xml:space="preserve">competente) e ii) dell'introduzione </w:t>
      </w:r>
      <w:r w:rsidR="004D3E44">
        <w:t xml:space="preserve"> </w:t>
      </w:r>
      <w:r>
        <w:t>annuale di tali</w:t>
      </w:r>
      <w:r w:rsidR="004D3E44">
        <w:t xml:space="preserve"> </w:t>
      </w:r>
      <w:r>
        <w:t>piani.</w:t>
      </w:r>
    </w:p>
    <w:p w14:paraId="1664FF6F" w14:textId="6BCDEBB4" w:rsidR="0099324A" w:rsidRDefault="0099324A" w:rsidP="0099324A">
      <w:r>
        <w:t>- Per la risoluzione del contratto nell'interesse</w:t>
      </w:r>
      <w:r w:rsidR="004D3E44">
        <w:t xml:space="preserve"> </w:t>
      </w:r>
      <w:r>
        <w:t>pubblico, la legge deve prevedere almeno una</w:t>
      </w:r>
      <w:r w:rsidR="004D3E44">
        <w:t xml:space="preserve"> </w:t>
      </w:r>
      <w:r>
        <w:t>compensazione adeguata per consentire al</w:t>
      </w:r>
      <w:r w:rsidR="004D3E44">
        <w:t xml:space="preserve"> </w:t>
      </w:r>
      <w:r>
        <w:t>concessionario di recuperare gli investimenti non</w:t>
      </w:r>
      <w:r w:rsidR="004D3E44">
        <w:t xml:space="preserve"> </w:t>
      </w:r>
      <w:r>
        <w:t>completamente ammortizzati. Quanto alla</w:t>
      </w:r>
      <w:r w:rsidR="004D3E44">
        <w:t xml:space="preserve"> </w:t>
      </w:r>
      <w:r>
        <w:t>risoluzione del contratto per grave</w:t>
      </w:r>
      <w:r w:rsidR="004D3E44">
        <w:t xml:space="preserve"> </w:t>
      </w:r>
      <w:r>
        <w:t xml:space="preserve">inadempimento, la </w:t>
      </w:r>
      <w:r>
        <w:lastRenderedPageBreak/>
        <w:t>legge deve prevedere un</w:t>
      </w:r>
      <w:r w:rsidR="004D3E44">
        <w:t xml:space="preserve"> </w:t>
      </w:r>
      <w:r>
        <w:t>giusto equilibrio tra risarcimento dei danni</w:t>
      </w:r>
      <w:r w:rsidR="004D3E44">
        <w:t xml:space="preserve"> </w:t>
      </w:r>
      <w:r>
        <w:t>richiesto al concessionario e una compensazione</w:t>
      </w:r>
      <w:r w:rsidR="004D3E44">
        <w:t xml:space="preserve"> </w:t>
      </w:r>
      <w:r>
        <w:t>ragionevole per gli investimenti non ancora</w:t>
      </w:r>
      <w:r w:rsidR="004D3E44">
        <w:t xml:space="preserve"> </w:t>
      </w:r>
      <w:r>
        <w:t>recuperati. I casi di inadempimento grave devono</w:t>
      </w:r>
      <w:r w:rsidR="004D3E44">
        <w:t xml:space="preserve"> </w:t>
      </w:r>
      <w:r>
        <w:t>essere esplicitamente individuati dalla legge.</w:t>
      </w:r>
    </w:p>
    <w:p w14:paraId="36232098" w14:textId="678C53CF" w:rsidR="0099324A" w:rsidRDefault="0099324A" w:rsidP="0099324A">
      <w:r>
        <w:t>ii) riguardo al modello regolamentare di tariffazione, la</w:t>
      </w:r>
      <w:r w:rsidR="004D3E44">
        <w:t xml:space="preserve"> </w:t>
      </w:r>
      <w:r>
        <w:t>legge annuale sulla concorrenza deve almeno:</w:t>
      </w:r>
    </w:p>
    <w:p w14:paraId="71FEF8C4" w14:textId="53C23DB8" w:rsidR="0099324A" w:rsidRDefault="0099324A" w:rsidP="0099324A">
      <w:r>
        <w:t>- imporre ai concessionari di garantire la piena e</w:t>
      </w:r>
      <w:r w:rsidR="004D3E44">
        <w:t xml:space="preserve"> </w:t>
      </w:r>
      <w:r>
        <w:t>tempestiva attuazione del modello regolamentare</w:t>
      </w:r>
      <w:r w:rsidR="004D3E44">
        <w:t xml:space="preserve"> </w:t>
      </w:r>
      <w:r>
        <w:t>di tariffazione dell'ART per il calcolo dei canoni di</w:t>
      </w:r>
      <w:r w:rsidR="004D3E44">
        <w:t xml:space="preserve"> </w:t>
      </w:r>
      <w:r>
        <w:t>accesso.</w:t>
      </w:r>
    </w:p>
    <w:p w14:paraId="7FF25922" w14:textId="52526CBD" w:rsidR="0099324A" w:rsidRDefault="0099324A" w:rsidP="0099324A">
      <w:r>
        <w:t>- Imporre ai concessionari di garantire la piena e</w:t>
      </w:r>
      <w:r w:rsidR="004D3E44">
        <w:t xml:space="preserve"> </w:t>
      </w:r>
      <w:r>
        <w:t>tempestiva attuazione del modello normativo</w:t>
      </w:r>
      <w:r w:rsidR="004D3E44">
        <w:t xml:space="preserve"> </w:t>
      </w:r>
      <w:r>
        <w:t>dell'ART in materia di prezzi e procedure di gara</w:t>
      </w:r>
      <w:r w:rsidR="004D3E44">
        <w:t xml:space="preserve"> </w:t>
      </w:r>
      <w:r>
        <w:t>delle subconcessioni per la fornitura di servizi di</w:t>
      </w:r>
      <w:r w:rsidR="004D3E44">
        <w:t xml:space="preserve"> </w:t>
      </w:r>
      <w:r>
        <w:t>ricarica di veicoli elettrici e di altri servizi.</w:t>
      </w:r>
    </w:p>
    <w:p w14:paraId="2440C089" w14:textId="77777777" w:rsidR="004D3E44" w:rsidRDefault="0099324A" w:rsidP="0099324A">
      <w:r>
        <w:t>- I diritti di accesso devono incentivare gli</w:t>
      </w:r>
      <w:r w:rsidR="004D3E44">
        <w:t xml:space="preserve"> </w:t>
      </w:r>
      <w:r>
        <w:t>investimenti e basarsi su una metodologia di</w:t>
      </w:r>
      <w:r w:rsidR="004D3E44">
        <w:t xml:space="preserve"> </w:t>
      </w:r>
      <w:r>
        <w:t>price cap sostenuta da un'analisi comparativa</w:t>
      </w:r>
      <w:r w:rsidR="004D3E44">
        <w:t xml:space="preserve"> </w:t>
      </w:r>
      <w:r>
        <w:t>trasparente dei costi dell'intero settore</w:t>
      </w:r>
      <w:r w:rsidR="004D3E44">
        <w:t xml:space="preserve"> </w:t>
      </w:r>
      <w:r>
        <w:t>economico, secondo criteri chiari, uniformi e</w:t>
      </w:r>
      <w:r w:rsidR="004D3E44">
        <w:t xml:space="preserve"> </w:t>
      </w:r>
      <w:r>
        <w:t>trasparenti.</w:t>
      </w:r>
    </w:p>
    <w:p w14:paraId="50A0D7BD" w14:textId="6CE2AAA1" w:rsidR="0099324A" w:rsidRDefault="0099324A" w:rsidP="0099324A">
      <w:r>
        <w:t>iii) riguardo ai diritti degli utenti, la legge annuale sulla</w:t>
      </w:r>
      <w:r w:rsidR="004D3E44">
        <w:t xml:space="preserve"> </w:t>
      </w:r>
      <w:r>
        <w:t>concorrenza deve almeno:</w:t>
      </w:r>
    </w:p>
    <w:p w14:paraId="481862C7" w14:textId="08DE1B0A" w:rsidR="0099324A" w:rsidRDefault="0099324A" w:rsidP="0099324A">
      <w:r>
        <w:t>- garantire la piena e tempestiva attuazione del</w:t>
      </w:r>
      <w:r w:rsidR="004D3E44">
        <w:t xml:space="preserve"> </w:t>
      </w:r>
      <w:r>
        <w:t>quadro normativo dell'ART per la tutela dei diritti</w:t>
      </w:r>
      <w:r w:rsidR="004D3E44">
        <w:t xml:space="preserve"> </w:t>
      </w:r>
      <w:r>
        <w:t>degli utenti e per la fornitura di livelli di servizio</w:t>
      </w:r>
      <w:r w:rsidR="004D3E44">
        <w:t xml:space="preserve"> </w:t>
      </w:r>
      <w:r>
        <w:t>adeguati.</w:t>
      </w:r>
    </w:p>
    <w:p w14:paraId="6FE6E996" w14:textId="5DB7D9BC" w:rsidR="0099324A" w:rsidRDefault="0099324A" w:rsidP="0099324A">
      <w:r>
        <w:t>iv) riguardo all'esternalizzazione dei lavori di</w:t>
      </w:r>
      <w:r w:rsidR="004D3E44">
        <w:t xml:space="preserve"> </w:t>
      </w:r>
      <w:r>
        <w:t>costruzione, la legge annuale sulla concorrenza deve</w:t>
      </w:r>
      <w:r w:rsidR="004D3E44">
        <w:t xml:space="preserve"> </w:t>
      </w:r>
      <w:r>
        <w:t>almeno:</w:t>
      </w:r>
    </w:p>
    <w:p w14:paraId="0561AFEC" w14:textId="01493D5A" w:rsidR="0099324A" w:rsidRDefault="0099324A" w:rsidP="0099324A">
      <w:r>
        <w:t>- Stabilire, ai sensi dell'articolo 186, paragrafo 2,</w:t>
      </w:r>
      <w:r w:rsidR="004D3E44">
        <w:t xml:space="preserve"> </w:t>
      </w:r>
      <w:r>
        <w:t>del decreto legislativo n. 36/2023, l'obbligo per i</w:t>
      </w:r>
      <w:r w:rsidR="004D3E44">
        <w:t xml:space="preserve"> </w:t>
      </w:r>
      <w:r>
        <w:t>concessionari autostradali di affidare a terzi,</w:t>
      </w:r>
      <w:r w:rsidR="004D3E44">
        <w:t xml:space="preserve"> </w:t>
      </w:r>
      <w:r>
        <w:t>mediante procedure di evidenza pubblica, tra</w:t>
      </w:r>
      <w:r w:rsidR="004D3E44">
        <w:t xml:space="preserve"> </w:t>
      </w:r>
      <w:r>
        <w:t>il 50 % e il 60 % dei contratti di lavori, servizi e</w:t>
      </w:r>
      <w:r w:rsidR="004D3E44">
        <w:t xml:space="preserve"> </w:t>
      </w:r>
      <w:r>
        <w:t>forniture. Le quote sono calcolate in base agli</w:t>
      </w:r>
      <w:r w:rsidR="004D3E44">
        <w:t xml:space="preserve"> </w:t>
      </w:r>
      <w:r>
        <w:t>importi dei piani economici e finanziari allegati ai</w:t>
      </w:r>
      <w:r w:rsidR="004D3E44">
        <w:t xml:space="preserve"> </w:t>
      </w:r>
      <w:r>
        <w:t>documenti di concessione e tenendo conto delle</w:t>
      </w:r>
      <w:r w:rsidR="004D3E44">
        <w:t xml:space="preserve"> </w:t>
      </w:r>
      <w:r>
        <w:t>dimensioni e delle caratteristiche econom</w:t>
      </w:r>
      <w:r>
        <w:t xml:space="preserve">iche del </w:t>
      </w:r>
      <w:r w:rsidR="004D3E44">
        <w:t xml:space="preserve"> </w:t>
      </w:r>
      <w:r>
        <w:t>concessionario, della durata dell'aggiudicazione,</w:t>
      </w:r>
      <w:r w:rsidR="004D3E44">
        <w:t xml:space="preserve"> </w:t>
      </w:r>
      <w:r>
        <w:t>della durata residua, dell'oggetto e del valore</w:t>
      </w:r>
      <w:r w:rsidR="004D3E44">
        <w:t xml:space="preserve"> </w:t>
      </w:r>
      <w:r>
        <w:t>economico della concessione e dell'importo degli</w:t>
      </w:r>
      <w:r w:rsidR="004D3E44">
        <w:t xml:space="preserve"> </w:t>
      </w:r>
      <w:r>
        <w:t>investimenti effettuati.</w:t>
      </w:r>
    </w:p>
    <w:p w14:paraId="08CB1696" w14:textId="708B2446" w:rsidR="0099324A" w:rsidRDefault="0099324A" w:rsidP="0099324A">
      <w:r>
        <w:t>(*) per quanto riguarda gli affidamenti in house, la</w:t>
      </w:r>
      <w:r w:rsidR="004D3E44">
        <w:t xml:space="preserve"> </w:t>
      </w:r>
      <w:r>
        <w:t>legge deve:</w:t>
      </w:r>
    </w:p>
    <w:p w14:paraId="263A4636" w14:textId="7E1DF549" w:rsidR="0099324A" w:rsidRDefault="0099324A" w:rsidP="0099324A">
      <w:r>
        <w:t>- richiedere una verifica ex ante obbligatoria della</w:t>
      </w:r>
      <w:r w:rsidR="004D3E44">
        <w:t xml:space="preserve"> </w:t>
      </w:r>
      <w:r>
        <w:t>legalità dell'affidamento in house e vietare l'avvio</w:t>
      </w:r>
      <w:r w:rsidR="004D3E44">
        <w:t xml:space="preserve"> </w:t>
      </w:r>
      <w:r>
        <w:t>della procedura di gara o degli affidamenti in</w:t>
      </w:r>
      <w:r w:rsidR="004D3E44">
        <w:t xml:space="preserve"> </w:t>
      </w:r>
      <w:r>
        <w:t>house in assenza di tale verifica;</w:t>
      </w:r>
    </w:p>
    <w:p w14:paraId="30288CA0" w14:textId="489DF2C1" w:rsidR="0099324A" w:rsidRDefault="0099324A" w:rsidP="0099324A">
      <w:r>
        <w:t>- conferire all'Autorità per la regolamentazione</w:t>
      </w:r>
      <w:r w:rsidR="004D3E44">
        <w:t xml:space="preserve"> </w:t>
      </w:r>
      <w:r>
        <w:t>dei trasporti (ART) strumenti e poteri adeguati per</w:t>
      </w:r>
      <w:r w:rsidR="004D3E44">
        <w:t xml:space="preserve"> </w:t>
      </w:r>
      <w:r>
        <w:t>eseguire le verifiche summenzionate e il</w:t>
      </w:r>
      <w:r w:rsidR="004D3E44">
        <w:t xml:space="preserve"> </w:t>
      </w:r>
      <w:r>
        <w:t>sostegno (giuridico) dell'Autorità nazionale</w:t>
      </w:r>
      <w:r w:rsidR="004D3E44">
        <w:t xml:space="preserve"> </w:t>
      </w:r>
      <w:r>
        <w:t>anticorruzione (ANAC);</w:t>
      </w:r>
    </w:p>
    <w:p w14:paraId="6105B456" w14:textId="6BA557AE" w:rsidR="0099324A" w:rsidRDefault="0099324A" w:rsidP="0099324A">
      <w:r>
        <w:t>- imporre l'installazione di un numero minimo di</w:t>
      </w:r>
      <w:r w:rsidR="004D3E44">
        <w:t xml:space="preserve"> </w:t>
      </w:r>
      <w:r>
        <w:t>punti di ricarica elettrica, la realizzazione di aree</w:t>
      </w:r>
      <w:r w:rsidR="004D3E44">
        <w:t xml:space="preserve"> </w:t>
      </w:r>
      <w:r>
        <w:t>di parcheggio e di sosta adeguate per gli</w:t>
      </w:r>
      <w:r w:rsidR="004D3E44">
        <w:t xml:space="preserve"> </w:t>
      </w:r>
      <w:r>
        <w:t>operatori del trasporto merci e il pieno rispetto del</w:t>
      </w:r>
      <w:r w:rsidR="004D3E44">
        <w:t xml:space="preserve"> </w:t>
      </w:r>
      <w:r>
        <w:t>quadro normativo elaborato dall'ART per la tutela</w:t>
      </w:r>
      <w:r w:rsidR="004D3E44">
        <w:t xml:space="preserve"> </w:t>
      </w:r>
      <w:r>
        <w:t>dei diritti degli utenti e la fornitura di adeguati</w:t>
      </w:r>
      <w:r w:rsidR="004D3E44">
        <w:t xml:space="preserve"> </w:t>
      </w:r>
      <w:r>
        <w:t>livelli di servizio, come criteri di aggiudicazione</w:t>
      </w:r>
      <w:r w:rsidR="004D3E44">
        <w:t xml:space="preserve"> </w:t>
      </w:r>
      <w:r>
        <w:t>per nuove concessioni autostradali.</w:t>
      </w:r>
      <w:r>
        <w:cr/>
      </w:r>
    </w:p>
    <w:sectPr w:rsidR="00993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4A"/>
    <w:rsid w:val="00345F85"/>
    <w:rsid w:val="003B7791"/>
    <w:rsid w:val="004D3E44"/>
    <w:rsid w:val="004E32A1"/>
    <w:rsid w:val="0066218D"/>
    <w:rsid w:val="00800947"/>
    <w:rsid w:val="0099324A"/>
    <w:rsid w:val="00AB5F2C"/>
    <w:rsid w:val="00B2473D"/>
    <w:rsid w:val="00E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720B"/>
  <w15:chartTrackingRefBased/>
  <w15:docId w15:val="{4CED5A86-469A-4221-9E29-14679ACF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3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3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3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3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32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32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32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32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32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32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3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3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32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32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32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32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3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Santilli</dc:creator>
  <cp:keywords/>
  <dc:description/>
  <cp:lastModifiedBy>Giorgio Santilli</cp:lastModifiedBy>
  <cp:revision>4</cp:revision>
  <dcterms:created xsi:type="dcterms:W3CDTF">2024-07-28T07:01:00Z</dcterms:created>
  <dcterms:modified xsi:type="dcterms:W3CDTF">2024-07-28T07:28:00Z</dcterms:modified>
</cp:coreProperties>
</file>